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38" w:rsidRPr="00B44EA2" w:rsidRDefault="00D140D0" w:rsidP="00BE0138">
      <w:pPr>
        <w:spacing w:after="0"/>
        <w:jc w:val="right"/>
        <w:rPr>
          <w:rFonts w:asciiTheme="majorHAnsi" w:hAnsiTheme="majorHAnsi" w:cs="Cambria"/>
          <w:shd w:val="clear" w:color="auto" w:fill="FFFFFF"/>
        </w:rPr>
      </w:pPr>
      <w:bookmarkStart w:id="0" w:name="_GoBack"/>
      <w:bookmarkEnd w:id="0"/>
      <w:r>
        <w:rPr>
          <w:rFonts w:asciiTheme="majorHAnsi" w:hAnsiTheme="majorHAnsi" w:cs="Cambria"/>
          <w:shd w:val="clear" w:color="auto" w:fill="FFFFFF"/>
        </w:rPr>
        <w:t>19 November</w:t>
      </w:r>
      <w:r w:rsidR="00BE0138" w:rsidRPr="00B44EA2">
        <w:rPr>
          <w:rFonts w:asciiTheme="majorHAnsi" w:hAnsiTheme="majorHAnsi" w:cs="Cambria"/>
          <w:shd w:val="clear" w:color="auto" w:fill="FFFFFF"/>
        </w:rPr>
        <w:t xml:space="preserve"> 2016</w:t>
      </w:r>
    </w:p>
    <w:p w:rsidR="00BE0138" w:rsidRPr="00B44EA2" w:rsidRDefault="00BE0138" w:rsidP="00BE0138">
      <w:pPr>
        <w:spacing w:after="0"/>
        <w:rPr>
          <w:rFonts w:asciiTheme="majorHAnsi" w:hAnsiTheme="majorHAnsi" w:cs="Cambria"/>
          <w:shd w:val="clear" w:color="auto" w:fill="FFFFFF"/>
        </w:rPr>
      </w:pPr>
    </w:p>
    <w:p w:rsidR="00BE0138" w:rsidRPr="00B44EA2" w:rsidRDefault="00BE0138" w:rsidP="00BE0138">
      <w:pPr>
        <w:spacing w:after="0"/>
        <w:jc w:val="center"/>
        <w:rPr>
          <w:rFonts w:asciiTheme="majorHAnsi" w:hAnsiTheme="majorHAnsi" w:cs="Cambria"/>
          <w:b/>
          <w:smallCaps/>
          <w:shd w:val="clear" w:color="auto" w:fill="FFFFFF"/>
        </w:rPr>
      </w:pPr>
    </w:p>
    <w:p w:rsidR="00BE0138" w:rsidRPr="00B44EA2" w:rsidRDefault="00BE0138" w:rsidP="00BE0138">
      <w:pPr>
        <w:spacing w:after="0"/>
        <w:rPr>
          <w:rFonts w:asciiTheme="majorHAnsi" w:hAnsiTheme="majorHAnsi" w:cs="Cambria"/>
          <w:b/>
        </w:rPr>
      </w:pPr>
      <w:r w:rsidRPr="00B44EA2">
        <w:rPr>
          <w:rFonts w:asciiTheme="majorHAnsi" w:hAnsiTheme="majorHAnsi" w:cs="Cambria"/>
          <w:b/>
        </w:rPr>
        <w:t>Peter Sise</w:t>
      </w:r>
    </w:p>
    <w:p w:rsidR="00BE0138" w:rsidRPr="00B44EA2" w:rsidRDefault="00BE0138" w:rsidP="00BE0138">
      <w:pPr>
        <w:spacing w:after="0"/>
        <w:rPr>
          <w:rFonts w:asciiTheme="majorHAnsi" w:hAnsiTheme="majorHAnsi" w:cs="Cambria"/>
        </w:rPr>
      </w:pPr>
      <w:r w:rsidRPr="00B44EA2">
        <w:rPr>
          <w:rFonts w:asciiTheme="majorHAnsi" w:hAnsiTheme="majorHAnsi" w:cs="Cambria"/>
        </w:rPr>
        <w:t>Melbourne, Victoria</w:t>
      </w:r>
    </w:p>
    <w:p w:rsidR="00BE0138" w:rsidRPr="00B44EA2" w:rsidRDefault="00BE0138" w:rsidP="00BE0138">
      <w:pPr>
        <w:spacing w:after="0"/>
        <w:jc w:val="center"/>
        <w:rPr>
          <w:rFonts w:asciiTheme="majorHAnsi" w:hAnsiTheme="majorHAnsi" w:cs="Cambria"/>
          <w:b/>
          <w:smallCaps/>
          <w:shd w:val="clear" w:color="auto" w:fill="FFFFFF"/>
        </w:rPr>
      </w:pPr>
    </w:p>
    <w:p w:rsidR="00BE0138" w:rsidRPr="00B44EA2" w:rsidRDefault="00BE0138" w:rsidP="00BE0138">
      <w:pPr>
        <w:spacing w:after="0"/>
        <w:jc w:val="center"/>
        <w:rPr>
          <w:rFonts w:asciiTheme="majorHAnsi" w:hAnsiTheme="majorHAnsi" w:cs="Cambria"/>
          <w:b/>
          <w:smallCaps/>
          <w:shd w:val="clear" w:color="auto" w:fill="FFFFFF"/>
        </w:rPr>
      </w:pPr>
    </w:p>
    <w:p w:rsidR="00074624" w:rsidRPr="00B90B17" w:rsidRDefault="00BE0138" w:rsidP="00074624">
      <w:pPr>
        <w:spacing w:after="0"/>
        <w:jc w:val="center"/>
        <w:rPr>
          <w:rFonts w:asciiTheme="majorHAnsi" w:hAnsiTheme="majorHAnsi" w:cs="Cambria"/>
          <w:b/>
          <w:smallCaps/>
          <w:sz w:val="24"/>
          <w:szCs w:val="24"/>
          <w:shd w:val="clear" w:color="auto" w:fill="FFFFFF"/>
        </w:rPr>
      </w:pPr>
      <w:r w:rsidRPr="00B90B17">
        <w:rPr>
          <w:rFonts w:asciiTheme="majorHAnsi" w:hAnsiTheme="majorHAnsi" w:cs="Cambria"/>
          <w:b/>
          <w:smallCaps/>
          <w:sz w:val="24"/>
          <w:szCs w:val="24"/>
          <w:shd w:val="clear" w:color="auto" w:fill="FFFFFF"/>
        </w:rPr>
        <w:t>Review of the Australian Consumer Law by Consumer Affairs Australia and New Zealand</w:t>
      </w:r>
    </w:p>
    <w:p w:rsidR="00BE0138" w:rsidRPr="00B90B17" w:rsidRDefault="00074624" w:rsidP="00074624">
      <w:pPr>
        <w:spacing w:after="0"/>
        <w:jc w:val="center"/>
        <w:rPr>
          <w:rFonts w:asciiTheme="majorHAnsi" w:hAnsiTheme="majorHAnsi" w:cs="Cambria"/>
          <w:b/>
          <w:smallCaps/>
          <w:sz w:val="24"/>
          <w:szCs w:val="24"/>
          <w:vertAlign w:val="superscript"/>
        </w:rPr>
      </w:pPr>
      <w:r w:rsidRPr="00B90B17">
        <w:rPr>
          <w:rFonts w:asciiTheme="majorHAnsi" w:hAnsiTheme="majorHAnsi" w:cs="Cambria"/>
          <w:b/>
          <w:smallCaps/>
          <w:sz w:val="24"/>
          <w:szCs w:val="24"/>
          <w:shd w:val="clear" w:color="auto" w:fill="FFFFFF"/>
        </w:rPr>
        <w:t xml:space="preserve">Submission </w:t>
      </w:r>
      <w:r w:rsidR="00BE0138" w:rsidRPr="00B90B17">
        <w:rPr>
          <w:rFonts w:asciiTheme="majorHAnsi" w:hAnsiTheme="majorHAnsi" w:cs="Cambria"/>
          <w:b/>
          <w:smallCaps/>
          <w:sz w:val="24"/>
          <w:szCs w:val="24"/>
          <w:shd w:val="clear" w:color="auto" w:fill="FFFFFF"/>
        </w:rPr>
        <w:t>in Response to the Interim Report</w:t>
      </w:r>
      <w:r w:rsidR="00BE0138" w:rsidRPr="00B90B17">
        <w:rPr>
          <w:rFonts w:asciiTheme="majorHAnsi" w:hAnsiTheme="majorHAnsi" w:cs="Cambria"/>
          <w:b/>
          <w:smallCaps/>
          <w:sz w:val="24"/>
          <w:szCs w:val="24"/>
          <w:shd w:val="clear" w:color="auto" w:fill="FFFFFF"/>
          <w:vertAlign w:val="superscript"/>
        </w:rPr>
        <w:t>*</w:t>
      </w:r>
    </w:p>
    <w:p w:rsidR="00B90B17" w:rsidRDefault="00B90B17" w:rsidP="00BE0138">
      <w:pPr>
        <w:spacing w:line="360" w:lineRule="auto"/>
        <w:rPr>
          <w:rFonts w:asciiTheme="majorHAnsi" w:hAnsiTheme="majorHAnsi" w:cs="Cambria"/>
        </w:rPr>
      </w:pPr>
    </w:p>
    <w:p w:rsidR="00BE0138" w:rsidRPr="00B44EA2" w:rsidRDefault="00BE0138" w:rsidP="00BE0138">
      <w:pPr>
        <w:spacing w:line="360" w:lineRule="auto"/>
        <w:rPr>
          <w:rFonts w:asciiTheme="majorHAnsi" w:hAnsiTheme="majorHAnsi" w:cs="Cambria"/>
        </w:rPr>
      </w:pPr>
      <w:r w:rsidRPr="00B44EA2">
        <w:rPr>
          <w:rFonts w:asciiTheme="majorHAnsi" w:hAnsiTheme="majorHAnsi" w:cs="Cambria"/>
        </w:rPr>
        <w:t>Dear sir/madam</w:t>
      </w:r>
    </w:p>
    <w:p w:rsidR="00BE0138" w:rsidRPr="00B44EA2" w:rsidRDefault="00BE0138" w:rsidP="00BE0138">
      <w:pPr>
        <w:spacing w:line="360" w:lineRule="auto"/>
        <w:rPr>
          <w:rFonts w:asciiTheme="majorHAnsi" w:hAnsiTheme="majorHAnsi" w:cs="Cambria"/>
          <w:b/>
        </w:rPr>
      </w:pPr>
      <w:r w:rsidRPr="00B44EA2">
        <w:rPr>
          <w:rFonts w:asciiTheme="majorHAnsi" w:hAnsiTheme="majorHAnsi" w:cs="Cambria"/>
          <w:b/>
        </w:rPr>
        <w:t>Introduction and summary</w:t>
      </w:r>
    </w:p>
    <w:p w:rsidR="00BE0138" w:rsidRPr="00B44EA2" w:rsidRDefault="00BE0138" w:rsidP="00B76278">
      <w:pPr>
        <w:pStyle w:val="CUNumber1"/>
        <w:spacing w:line="360" w:lineRule="auto"/>
        <w:rPr>
          <w:b/>
        </w:rPr>
      </w:pPr>
      <w:r w:rsidRPr="00B44EA2">
        <w:rPr>
          <w:rFonts w:asciiTheme="majorHAnsi" w:hAnsiTheme="majorHAnsi" w:cs="Cambria"/>
        </w:rPr>
        <w:t>This submission addresses certain aspects</w:t>
      </w:r>
      <w:r w:rsidR="000A1E19">
        <w:rPr>
          <w:rFonts w:asciiTheme="majorHAnsi" w:hAnsiTheme="majorHAnsi" w:cs="Cambria"/>
        </w:rPr>
        <w:t xml:space="preserve"> of the Interim Report </w:t>
      </w:r>
      <w:r w:rsidR="00074624">
        <w:rPr>
          <w:rFonts w:asciiTheme="majorHAnsi" w:hAnsiTheme="majorHAnsi" w:cs="Cambria"/>
        </w:rPr>
        <w:t>concerning</w:t>
      </w:r>
      <w:r w:rsidR="000A1E19">
        <w:rPr>
          <w:rFonts w:asciiTheme="majorHAnsi" w:hAnsiTheme="majorHAnsi" w:cs="Cambria"/>
        </w:rPr>
        <w:t xml:space="preserve"> the "unfair contract term"</w:t>
      </w:r>
      <w:r w:rsidRPr="00B44EA2">
        <w:rPr>
          <w:rFonts w:asciiTheme="majorHAnsi" w:hAnsiTheme="majorHAnsi" w:cs="Cambria"/>
        </w:rPr>
        <w:t xml:space="preserve"> provisions </w:t>
      </w:r>
      <w:r w:rsidR="000A1E19">
        <w:rPr>
          <w:rFonts w:asciiTheme="majorHAnsi" w:hAnsiTheme="majorHAnsi" w:cs="Cambria"/>
        </w:rPr>
        <w:t>(</w:t>
      </w:r>
      <w:r w:rsidR="000A1E19">
        <w:rPr>
          <w:rFonts w:asciiTheme="majorHAnsi" w:hAnsiTheme="majorHAnsi" w:cs="Cambria"/>
          <w:b/>
        </w:rPr>
        <w:t>UCT provisions</w:t>
      </w:r>
      <w:r w:rsidR="000A1E19">
        <w:rPr>
          <w:rFonts w:asciiTheme="majorHAnsi" w:hAnsiTheme="majorHAnsi" w:cs="Cambria"/>
        </w:rPr>
        <w:t>)</w:t>
      </w:r>
      <w:r w:rsidR="000A1E19">
        <w:rPr>
          <w:rFonts w:asciiTheme="majorHAnsi" w:hAnsiTheme="majorHAnsi" w:cs="Cambria"/>
          <w:b/>
        </w:rPr>
        <w:t xml:space="preserve"> </w:t>
      </w:r>
      <w:r w:rsidRPr="00B44EA2">
        <w:rPr>
          <w:rFonts w:asciiTheme="majorHAnsi" w:hAnsiTheme="majorHAnsi" w:cs="Cambria"/>
        </w:rPr>
        <w:t xml:space="preserve">in Part 2-3 of the </w:t>
      </w:r>
      <w:r w:rsidRPr="00B44EA2">
        <w:rPr>
          <w:rFonts w:asciiTheme="majorHAnsi" w:hAnsiTheme="majorHAnsi" w:cs="Cambria"/>
          <w:i/>
        </w:rPr>
        <w:t>Australian Consumer Law</w:t>
      </w:r>
      <w:r w:rsidRPr="00B44EA2">
        <w:rPr>
          <w:rFonts w:asciiTheme="majorHAnsi" w:hAnsiTheme="majorHAnsi" w:cs="Cambria"/>
        </w:rPr>
        <w:t xml:space="preserve"> (</w:t>
      </w:r>
      <w:r w:rsidR="00B7469B" w:rsidRPr="00B44EA2">
        <w:rPr>
          <w:rFonts w:asciiTheme="majorHAnsi" w:hAnsiTheme="majorHAnsi" w:cs="Cambria"/>
          <w:b/>
        </w:rPr>
        <w:t>ACL</w:t>
      </w:r>
      <w:r w:rsidRPr="00B44EA2">
        <w:rPr>
          <w:rFonts w:asciiTheme="majorHAnsi" w:hAnsiTheme="majorHAnsi" w:cs="Cambria"/>
        </w:rPr>
        <w:t xml:space="preserve">).  </w:t>
      </w:r>
      <w:r w:rsidR="00074624">
        <w:rPr>
          <w:rFonts w:asciiTheme="majorHAnsi" w:hAnsiTheme="majorHAnsi" w:cs="Cambria"/>
        </w:rPr>
        <w:t>For convenience, summaries of each submission are provided</w:t>
      </w:r>
      <w:r w:rsidR="00D140D0">
        <w:rPr>
          <w:rFonts w:asciiTheme="majorHAnsi" w:hAnsiTheme="majorHAnsi" w:cs="Cambria"/>
        </w:rPr>
        <w:t>.</w:t>
      </w:r>
    </w:p>
    <w:p w:rsidR="00884E87" w:rsidRPr="00B44EA2" w:rsidRDefault="000A1E19" w:rsidP="00884E87">
      <w:pPr>
        <w:rPr>
          <w:b/>
        </w:rPr>
      </w:pPr>
      <w:r>
        <w:rPr>
          <w:b/>
        </w:rPr>
        <w:t>"Overarching questions"</w:t>
      </w:r>
      <w:r w:rsidR="00884E87" w:rsidRPr="00B44EA2">
        <w:rPr>
          <w:b/>
        </w:rPr>
        <w:t xml:space="preserve">:  </w:t>
      </w:r>
      <w:r w:rsidR="00884E87" w:rsidRPr="00B90B17">
        <w:rPr>
          <w:b/>
          <w:i/>
        </w:rPr>
        <w:t>Definition of a "standard form contract"</w:t>
      </w:r>
    </w:p>
    <w:tbl>
      <w:tblPr>
        <w:tblStyle w:val="TableGrid"/>
        <w:tblW w:w="0" w:type="auto"/>
        <w:tblLook w:val="04A0" w:firstRow="1" w:lastRow="0" w:firstColumn="1" w:lastColumn="0" w:noHBand="0" w:noVBand="1"/>
      </w:tblPr>
      <w:tblGrid>
        <w:gridCol w:w="9570"/>
      </w:tblGrid>
      <w:tr w:rsidR="00884E87" w:rsidRPr="00B44EA2" w:rsidTr="00AE24DE">
        <w:tc>
          <w:tcPr>
            <w:tcW w:w="9570" w:type="dxa"/>
            <w:shd w:val="pct10" w:color="auto" w:fill="auto"/>
          </w:tcPr>
          <w:p w:rsidR="00884E87" w:rsidRPr="00B44EA2" w:rsidRDefault="00884E87" w:rsidP="00AE24DE">
            <w:pPr>
              <w:rPr>
                <w:b/>
              </w:rPr>
            </w:pPr>
            <w:r w:rsidRPr="00B44EA2">
              <w:rPr>
                <w:b/>
              </w:rPr>
              <w:t>Summary of submission</w:t>
            </w:r>
          </w:p>
          <w:p w:rsidR="00311813" w:rsidRDefault="00311813" w:rsidP="00311813">
            <w:pPr>
              <w:pStyle w:val="ListParagraph"/>
              <w:numPr>
                <w:ilvl w:val="0"/>
                <w:numId w:val="23"/>
              </w:numPr>
            </w:pPr>
            <w:r>
              <w:t xml:space="preserve">The requirement that a contract be a "standard form contract" should be removed from the </w:t>
            </w:r>
            <w:r w:rsidR="00D140D0">
              <w:t>ACL</w:t>
            </w:r>
            <w:r>
              <w:t>.</w:t>
            </w:r>
          </w:p>
          <w:p w:rsidR="00884E87" w:rsidRPr="00B44EA2" w:rsidRDefault="00311813" w:rsidP="003936A5">
            <w:pPr>
              <w:pStyle w:val="ListParagraph"/>
              <w:numPr>
                <w:ilvl w:val="0"/>
                <w:numId w:val="23"/>
              </w:numPr>
            </w:pPr>
            <w:r>
              <w:t xml:space="preserve">Instead, the test for whether a term is "unfair" should be </w:t>
            </w:r>
            <w:r w:rsidR="003936A5">
              <w:t>expanded</w:t>
            </w:r>
            <w:r>
              <w:t xml:space="preserve"> so that a term </w:t>
            </w:r>
            <w:r w:rsidR="003936A5">
              <w:t xml:space="preserve">must </w:t>
            </w:r>
            <w:r w:rsidR="00D4506F">
              <w:t xml:space="preserve">also </w:t>
            </w:r>
            <w:r w:rsidR="003936A5">
              <w:t>lack transparency in order to be "unfair"</w:t>
            </w:r>
            <w:r>
              <w:t xml:space="preserve">.  The onus </w:t>
            </w:r>
            <w:r w:rsidR="003936A5">
              <w:t>should</w:t>
            </w:r>
            <w:r>
              <w:t xml:space="preserve"> be on the </w:t>
            </w:r>
            <w:r w:rsidR="007B5ED2">
              <w:t>applicant</w:t>
            </w:r>
            <w:r>
              <w:t xml:space="preserve"> to prove that a term </w:t>
            </w:r>
            <w:r w:rsidR="003936A5">
              <w:t>lacks</w:t>
            </w:r>
            <w:r>
              <w:t xml:space="preserve"> </w:t>
            </w:r>
            <w:r w:rsidR="003936A5">
              <w:t>transparency</w:t>
            </w:r>
            <w:r>
              <w:t>.</w:t>
            </w:r>
            <w:r w:rsidR="00884E87" w:rsidRPr="00B44EA2">
              <w:rPr>
                <w:color w:val="000000"/>
                <w:shd w:val="clear" w:color="auto" w:fill="FFFFFF"/>
              </w:rPr>
              <w:t xml:space="preserve"> </w:t>
            </w:r>
          </w:p>
        </w:tc>
      </w:tr>
    </w:tbl>
    <w:p w:rsidR="00884E87" w:rsidRDefault="00884E87" w:rsidP="00B76278">
      <w:pPr>
        <w:pStyle w:val="CUNumber1"/>
        <w:spacing w:before="240" w:line="360" w:lineRule="auto"/>
      </w:pPr>
      <w:r w:rsidRPr="00B44EA2">
        <w:t>Page 117 of the Interim Report asks whether there are any issues that require legislative</w:t>
      </w:r>
      <w:r w:rsidR="00D140D0">
        <w:t xml:space="preserve"> intervention.</w:t>
      </w:r>
      <w:r w:rsidRPr="00B44EA2">
        <w:t xml:space="preserve">  On</w:t>
      </w:r>
      <w:r w:rsidR="000A1E19">
        <w:t>e issue is the definition</w:t>
      </w:r>
      <w:r w:rsidR="00FF15FF">
        <w:t xml:space="preserve"> of a </w:t>
      </w:r>
      <w:r w:rsidR="000A1E19">
        <w:t>standard form contract</w:t>
      </w:r>
      <w:r w:rsidRPr="00B44EA2">
        <w:t xml:space="preserve"> and whether the UCT provisions should be lim</w:t>
      </w:r>
      <w:r w:rsidR="000A1E19">
        <w:t>ited to standard form contracts</w:t>
      </w:r>
      <w:r w:rsidRPr="00B44EA2">
        <w:t>.</w:t>
      </w:r>
    </w:p>
    <w:p w:rsidR="00FC1134" w:rsidRPr="00FC1134" w:rsidRDefault="00FC1134" w:rsidP="00B76278">
      <w:pPr>
        <w:spacing w:line="360" w:lineRule="auto"/>
        <w:rPr>
          <w:u w:val="single"/>
        </w:rPr>
      </w:pPr>
      <w:r>
        <w:rPr>
          <w:u w:val="single"/>
        </w:rPr>
        <w:t>Problems with the current definition of a "standard form contract"</w:t>
      </w:r>
    </w:p>
    <w:p w:rsidR="00B44EA2" w:rsidRPr="00471133" w:rsidRDefault="00B44EA2" w:rsidP="00B76278">
      <w:pPr>
        <w:pStyle w:val="CUNumber1"/>
        <w:spacing w:line="360" w:lineRule="auto"/>
        <w:rPr>
          <w:rFonts w:cs="Arial"/>
        </w:rPr>
      </w:pPr>
      <w:bookmarkStart w:id="1" w:name="_Ref467231923"/>
      <w:r w:rsidRPr="00294F35">
        <w:rPr>
          <w:rFonts w:cs="Arial"/>
        </w:rPr>
        <w:t xml:space="preserve">The </w:t>
      </w:r>
      <w:r w:rsidRPr="00B44EA2">
        <w:t>common</w:t>
      </w:r>
      <w:r w:rsidRPr="00294F35">
        <w:rPr>
          <w:rFonts w:cs="Arial"/>
        </w:rPr>
        <w:t xml:space="preserve"> understanding of a standard form contract is a "contract that is not individually negotiated by the parties but contains the same terms for all transactions of that type."</w:t>
      </w:r>
      <w:r w:rsidRPr="00294F35">
        <w:rPr>
          <w:rStyle w:val="FootnoteReference"/>
          <w:rFonts w:cs="Arial"/>
        </w:rPr>
        <w:footnoteReference w:id="1"/>
      </w:r>
      <w:r w:rsidRPr="00294F35">
        <w:rPr>
          <w:rFonts w:cs="Arial"/>
        </w:rPr>
        <w:t xml:space="preserve">  </w:t>
      </w:r>
      <w:r>
        <w:t xml:space="preserve">With effect from 12 </w:t>
      </w:r>
      <w:r w:rsidR="00FF15FF">
        <w:t xml:space="preserve">November 2016, a definition of </w:t>
      </w:r>
      <w:r>
        <w:t xml:space="preserve">standard form contract was inserted into the ACL by the </w:t>
      </w:r>
      <w:r>
        <w:rPr>
          <w:i/>
        </w:rPr>
        <w:t xml:space="preserve">Treasury Legislation Amendment (Small Business and Unfair Contract Terms) Act 2015 </w:t>
      </w:r>
      <w:r>
        <w:t xml:space="preserve">(Cth).  </w:t>
      </w:r>
      <w:r w:rsidR="00D140D0">
        <w:t>That</w:t>
      </w:r>
      <w:r w:rsidR="007E4AFA">
        <w:t xml:space="preserve"> definition is</w:t>
      </w:r>
      <w:r>
        <w:t xml:space="preserve"> really no definition at all as it simply refers to the factors in s 27 of the ACL which a court must consider when deter</w:t>
      </w:r>
      <w:r w:rsidR="00FF15FF">
        <w:t xml:space="preserve">mining whether a contract is a </w:t>
      </w:r>
      <w:r>
        <w:t>standard form contract.</w:t>
      </w:r>
      <w:bookmarkEnd w:id="1"/>
    </w:p>
    <w:p w:rsidR="00B44EA2" w:rsidRPr="00471133" w:rsidRDefault="00B44EA2" w:rsidP="00FF15FF">
      <w:pPr>
        <w:pStyle w:val="CUNumber1"/>
        <w:keepNext/>
        <w:spacing w:line="360" w:lineRule="auto"/>
      </w:pPr>
      <w:r w:rsidRPr="00471133">
        <w:lastRenderedPageBreak/>
        <w:t xml:space="preserve">Section 27 of </w:t>
      </w:r>
      <w:r w:rsidRPr="00B44EA2">
        <w:rPr>
          <w:rFonts w:asciiTheme="majorHAnsi" w:hAnsiTheme="majorHAnsi" w:cs="Cambria"/>
        </w:rPr>
        <w:t>the</w:t>
      </w:r>
      <w:r w:rsidRPr="00471133">
        <w:t xml:space="preserve"> ACL provides as follows.</w:t>
      </w:r>
    </w:p>
    <w:p w:rsidR="00B44EA2" w:rsidRPr="00471133" w:rsidRDefault="00B44EA2" w:rsidP="00B76278">
      <w:pPr>
        <w:pStyle w:val="IndentParaLevel2"/>
        <w:numPr>
          <w:ilvl w:val="0"/>
          <w:numId w:val="0"/>
        </w:numPr>
        <w:spacing w:after="120" w:line="360" w:lineRule="auto"/>
        <w:ind w:left="2127" w:hanging="426"/>
        <w:rPr>
          <w:rFonts w:cs="Arial"/>
          <w:i/>
          <w:lang w:eastAsia="en-AU"/>
        </w:rPr>
      </w:pPr>
      <w:r w:rsidRPr="00471133">
        <w:rPr>
          <w:rFonts w:cs="Arial"/>
          <w:i/>
          <w:lang w:eastAsia="en-AU"/>
        </w:rPr>
        <w:t xml:space="preserve">(1)  </w:t>
      </w:r>
      <w:r>
        <w:rPr>
          <w:rFonts w:cs="Arial"/>
          <w:i/>
          <w:lang w:eastAsia="en-AU"/>
        </w:rPr>
        <w:tab/>
      </w:r>
      <w:r w:rsidRPr="00471133">
        <w:rPr>
          <w:rFonts w:cs="Arial"/>
          <w:i/>
          <w:lang w:eastAsia="en-AU"/>
        </w:rPr>
        <w:t>If a party to a proceeding alleges that a contract is a standard form contract, it is presumed to be a standard form contract unless another party to the proceeding proves otherwise.</w:t>
      </w:r>
    </w:p>
    <w:p w:rsidR="00B44EA2" w:rsidRPr="00471133" w:rsidRDefault="00B44EA2" w:rsidP="00B76278">
      <w:pPr>
        <w:pStyle w:val="IndentParaLevel2"/>
        <w:numPr>
          <w:ilvl w:val="0"/>
          <w:numId w:val="0"/>
        </w:numPr>
        <w:spacing w:after="120" w:line="360" w:lineRule="auto"/>
        <w:ind w:left="2127" w:hanging="426"/>
        <w:rPr>
          <w:rFonts w:cs="Arial"/>
          <w:i/>
          <w:lang w:eastAsia="en-AU"/>
        </w:rPr>
      </w:pPr>
      <w:r w:rsidRPr="00471133">
        <w:rPr>
          <w:rFonts w:cs="Arial"/>
          <w:i/>
          <w:lang w:eastAsia="en-AU"/>
        </w:rPr>
        <w:t xml:space="preserve">(2) </w:t>
      </w:r>
      <w:r>
        <w:rPr>
          <w:rFonts w:cs="Arial"/>
          <w:i/>
          <w:lang w:eastAsia="en-AU"/>
        </w:rPr>
        <w:tab/>
      </w:r>
      <w:r w:rsidRPr="00471133">
        <w:rPr>
          <w:rFonts w:cs="Arial"/>
          <w:i/>
          <w:lang w:eastAsia="en-AU"/>
        </w:rPr>
        <w:t>In determining whether a contract is a standard form contract, a court may take into account such matters as it thinks relevant, but must take into account the following:</w:t>
      </w:r>
    </w:p>
    <w:p w:rsidR="00B44EA2" w:rsidRPr="00471133" w:rsidRDefault="00B44EA2" w:rsidP="00B76278">
      <w:pPr>
        <w:pStyle w:val="IndentParaLevel2"/>
        <w:numPr>
          <w:ilvl w:val="0"/>
          <w:numId w:val="0"/>
        </w:numPr>
        <w:spacing w:after="0" w:line="360" w:lineRule="auto"/>
        <w:ind w:left="2892" w:hanging="765"/>
        <w:rPr>
          <w:rFonts w:cs="Arial"/>
          <w:i/>
          <w:lang w:eastAsia="en-AU"/>
        </w:rPr>
      </w:pPr>
      <w:r w:rsidRPr="00471133">
        <w:rPr>
          <w:rFonts w:cs="Arial"/>
          <w:i/>
          <w:lang w:eastAsia="en-AU"/>
        </w:rPr>
        <w:t xml:space="preserve">(a)  </w:t>
      </w:r>
      <w:r w:rsidRPr="00471133">
        <w:rPr>
          <w:rFonts w:cs="Arial"/>
          <w:i/>
          <w:lang w:eastAsia="en-AU"/>
        </w:rPr>
        <w:tab/>
        <w:t>whether one of the parties has all or most of the bargaining power relating to the transaction;</w:t>
      </w:r>
    </w:p>
    <w:p w:rsidR="00B44EA2" w:rsidRPr="00471133" w:rsidRDefault="00B44EA2" w:rsidP="00B76278">
      <w:pPr>
        <w:pStyle w:val="IndentParaLevel2"/>
        <w:numPr>
          <w:ilvl w:val="0"/>
          <w:numId w:val="0"/>
        </w:numPr>
        <w:spacing w:after="0" w:line="360" w:lineRule="auto"/>
        <w:ind w:left="2892" w:hanging="765"/>
        <w:rPr>
          <w:rFonts w:cs="Arial"/>
          <w:i/>
          <w:lang w:eastAsia="en-AU"/>
        </w:rPr>
      </w:pPr>
      <w:r w:rsidRPr="00471133">
        <w:rPr>
          <w:rFonts w:cs="Arial"/>
          <w:i/>
          <w:lang w:eastAsia="en-AU"/>
        </w:rPr>
        <w:t xml:space="preserve">(b)  </w:t>
      </w:r>
      <w:r w:rsidRPr="00471133">
        <w:rPr>
          <w:rFonts w:cs="Arial"/>
          <w:i/>
          <w:lang w:eastAsia="en-AU"/>
        </w:rPr>
        <w:tab/>
        <w:t>whether the contract was prepared by one party before any discussion relating to the transaction occurred between the parties;</w:t>
      </w:r>
    </w:p>
    <w:p w:rsidR="00B44EA2" w:rsidRPr="00471133" w:rsidRDefault="00B44EA2" w:rsidP="00B76278">
      <w:pPr>
        <w:pStyle w:val="IndentParaLevel2"/>
        <w:numPr>
          <w:ilvl w:val="0"/>
          <w:numId w:val="0"/>
        </w:numPr>
        <w:spacing w:after="0" w:line="360" w:lineRule="auto"/>
        <w:ind w:left="2892" w:hanging="765"/>
        <w:rPr>
          <w:rFonts w:cs="Arial"/>
          <w:i/>
          <w:lang w:eastAsia="en-AU"/>
        </w:rPr>
      </w:pPr>
      <w:r w:rsidRPr="00471133">
        <w:rPr>
          <w:rFonts w:cs="Arial"/>
          <w:i/>
          <w:lang w:eastAsia="en-AU"/>
        </w:rPr>
        <w:t xml:space="preserve">(c)  </w:t>
      </w:r>
      <w:r w:rsidRPr="00471133">
        <w:rPr>
          <w:rFonts w:cs="Arial"/>
          <w:i/>
          <w:lang w:eastAsia="en-AU"/>
        </w:rPr>
        <w:tab/>
        <w:t>whether another party was, in effect, required either to accept or reject the terms of the contract (other than the terms referred to in section 26(1)) in the form in which they were presented;</w:t>
      </w:r>
    </w:p>
    <w:p w:rsidR="00B44EA2" w:rsidRPr="00471133" w:rsidRDefault="00B44EA2" w:rsidP="00B76278">
      <w:pPr>
        <w:pStyle w:val="IndentParaLevel2"/>
        <w:numPr>
          <w:ilvl w:val="0"/>
          <w:numId w:val="0"/>
        </w:numPr>
        <w:spacing w:after="0" w:line="360" w:lineRule="auto"/>
        <w:ind w:left="2892" w:hanging="765"/>
        <w:rPr>
          <w:rFonts w:cs="Arial"/>
          <w:i/>
          <w:lang w:eastAsia="en-AU"/>
        </w:rPr>
      </w:pPr>
      <w:r w:rsidRPr="00471133">
        <w:rPr>
          <w:rFonts w:cs="Arial"/>
          <w:i/>
          <w:lang w:eastAsia="en-AU"/>
        </w:rPr>
        <w:t xml:space="preserve">(d)  </w:t>
      </w:r>
      <w:r w:rsidRPr="00471133">
        <w:rPr>
          <w:rFonts w:cs="Arial"/>
          <w:i/>
          <w:lang w:eastAsia="en-AU"/>
        </w:rPr>
        <w:tab/>
        <w:t>whether another party was given an effective opportunity to negotiate the terms of the contract that were not the terms referred to in section 26(1);</w:t>
      </w:r>
    </w:p>
    <w:p w:rsidR="00B44EA2" w:rsidRPr="00471133" w:rsidRDefault="00B44EA2" w:rsidP="00B76278">
      <w:pPr>
        <w:pStyle w:val="IndentParaLevel2"/>
        <w:numPr>
          <w:ilvl w:val="0"/>
          <w:numId w:val="0"/>
        </w:numPr>
        <w:spacing w:after="0" w:line="360" w:lineRule="auto"/>
        <w:ind w:left="2892" w:hanging="765"/>
        <w:rPr>
          <w:rFonts w:cs="Arial"/>
          <w:i/>
          <w:lang w:eastAsia="en-AU"/>
        </w:rPr>
      </w:pPr>
      <w:r w:rsidRPr="00471133">
        <w:rPr>
          <w:rFonts w:cs="Arial"/>
          <w:i/>
          <w:lang w:eastAsia="en-AU"/>
        </w:rPr>
        <w:t xml:space="preserve">(e)  </w:t>
      </w:r>
      <w:r w:rsidRPr="00471133">
        <w:rPr>
          <w:rFonts w:cs="Arial"/>
          <w:i/>
          <w:lang w:eastAsia="en-AU"/>
        </w:rPr>
        <w:tab/>
        <w:t xml:space="preserve">whether the terms of the contract (other than the terms referred to in section 26(1)) take into account the specific characteristics of another party or the particular transaction; </w:t>
      </w:r>
    </w:p>
    <w:p w:rsidR="00B44EA2" w:rsidRDefault="00B44EA2" w:rsidP="00B76278">
      <w:pPr>
        <w:pStyle w:val="IndentParaLevel2"/>
        <w:numPr>
          <w:ilvl w:val="0"/>
          <w:numId w:val="0"/>
        </w:numPr>
        <w:spacing w:after="0" w:line="360" w:lineRule="auto"/>
        <w:ind w:left="2892" w:hanging="765"/>
        <w:rPr>
          <w:rFonts w:cs="Arial"/>
          <w:i/>
          <w:lang w:eastAsia="en-AU"/>
        </w:rPr>
      </w:pPr>
      <w:r w:rsidRPr="00471133">
        <w:rPr>
          <w:rFonts w:cs="Arial"/>
          <w:i/>
          <w:lang w:eastAsia="en-AU"/>
        </w:rPr>
        <w:t xml:space="preserve">(f)  </w:t>
      </w:r>
      <w:r w:rsidRPr="00471133">
        <w:rPr>
          <w:rFonts w:cs="Arial"/>
          <w:i/>
          <w:lang w:eastAsia="en-AU"/>
        </w:rPr>
        <w:tab/>
        <w:t>any other matter prescribed by the regulations.</w:t>
      </w:r>
    </w:p>
    <w:p w:rsidR="00B44EA2" w:rsidRPr="00471133" w:rsidRDefault="00B44EA2" w:rsidP="00B76278">
      <w:pPr>
        <w:pStyle w:val="IndentParaLevel2"/>
        <w:numPr>
          <w:ilvl w:val="0"/>
          <w:numId w:val="0"/>
        </w:numPr>
        <w:spacing w:after="0" w:line="360" w:lineRule="auto"/>
        <w:ind w:left="2892" w:hanging="765"/>
        <w:rPr>
          <w:rFonts w:cs="Arial"/>
          <w:i/>
          <w:lang w:eastAsia="en-AU"/>
        </w:rPr>
      </w:pPr>
    </w:p>
    <w:p w:rsidR="00B44EA2" w:rsidRDefault="00B44EA2" w:rsidP="00B76278">
      <w:pPr>
        <w:pStyle w:val="CUNumber1"/>
        <w:spacing w:line="360" w:lineRule="auto"/>
        <w:rPr>
          <w:rFonts w:cs="Arial"/>
        </w:rPr>
      </w:pPr>
      <w:r w:rsidRPr="00471133">
        <w:rPr>
          <w:rFonts w:cs="Arial"/>
        </w:rPr>
        <w:t xml:space="preserve">There are </w:t>
      </w:r>
      <w:r w:rsidRPr="00B44EA2">
        <w:t>currently</w:t>
      </w:r>
      <w:r w:rsidRPr="00471133">
        <w:rPr>
          <w:rFonts w:cs="Arial"/>
        </w:rPr>
        <w:t xml:space="preserve"> no matters prescribed </w:t>
      </w:r>
      <w:r>
        <w:rPr>
          <w:rFonts w:cs="Arial"/>
        </w:rPr>
        <w:t>under</w:t>
      </w:r>
      <w:r w:rsidRPr="00471133">
        <w:rPr>
          <w:rFonts w:cs="Arial"/>
        </w:rPr>
        <w:t xml:space="preserve"> s 27(2)(f).  </w:t>
      </w:r>
    </w:p>
    <w:p w:rsidR="007E4AFA" w:rsidRDefault="007E4AFA" w:rsidP="00B76278">
      <w:pPr>
        <w:pStyle w:val="CUNumber1"/>
        <w:spacing w:line="360" w:lineRule="auto"/>
        <w:rPr>
          <w:rFonts w:cs="Arial"/>
        </w:rPr>
      </w:pPr>
      <w:bookmarkStart w:id="2" w:name="_Ref466298445"/>
      <w:r>
        <w:rPr>
          <w:rFonts w:cs="Arial"/>
        </w:rPr>
        <w:t xml:space="preserve">The absence of a definition </w:t>
      </w:r>
      <w:r w:rsidR="00D140D0">
        <w:rPr>
          <w:rFonts w:cs="Arial"/>
        </w:rPr>
        <w:t>for</w:t>
      </w:r>
      <w:r>
        <w:rPr>
          <w:rFonts w:cs="Arial"/>
        </w:rPr>
        <w:t xml:space="preserve"> </w:t>
      </w:r>
      <w:r w:rsidR="000A1E19">
        <w:rPr>
          <w:rFonts w:cs="Arial"/>
        </w:rPr>
        <w:t xml:space="preserve">a </w:t>
      </w:r>
      <w:r>
        <w:rPr>
          <w:rFonts w:cs="Arial"/>
        </w:rPr>
        <w:t xml:space="preserve">standard form contract creates uncertainty </w:t>
      </w:r>
      <w:r w:rsidR="000A1E19">
        <w:rPr>
          <w:rFonts w:cs="Arial"/>
        </w:rPr>
        <w:t>i</w:t>
      </w:r>
      <w:r>
        <w:rPr>
          <w:rFonts w:cs="Arial"/>
        </w:rPr>
        <w:t xml:space="preserve">n two ways.  First, it is unclear what level of negotiation is required </w:t>
      </w:r>
      <w:r w:rsidR="00530AFB">
        <w:rPr>
          <w:rFonts w:cs="Arial"/>
        </w:rPr>
        <w:t>to convert a standard form contract to a negotiated contract</w:t>
      </w:r>
      <w:r>
        <w:rPr>
          <w:rFonts w:cs="Arial"/>
        </w:rPr>
        <w:t xml:space="preserve">.  Is it enough for the respondent in a court proceeding to </w:t>
      </w:r>
      <w:r w:rsidR="000A1E19">
        <w:rPr>
          <w:rFonts w:cs="Arial"/>
        </w:rPr>
        <w:t xml:space="preserve">have </w:t>
      </w:r>
      <w:r>
        <w:rPr>
          <w:rFonts w:cs="Arial"/>
        </w:rPr>
        <w:t>negotiate</w:t>
      </w:r>
      <w:r w:rsidR="000A1E19">
        <w:rPr>
          <w:rFonts w:cs="Arial"/>
        </w:rPr>
        <w:t>d</w:t>
      </w:r>
      <w:r>
        <w:rPr>
          <w:rFonts w:cs="Arial"/>
        </w:rPr>
        <w:t xml:space="preserve"> one term in the contract?  Would it m</w:t>
      </w:r>
      <w:r w:rsidR="000A1E19">
        <w:rPr>
          <w:rFonts w:cs="Arial"/>
        </w:rPr>
        <w:t>atter what th</w:t>
      </w:r>
      <w:r w:rsidR="00D140D0">
        <w:rPr>
          <w:rFonts w:cs="Arial"/>
        </w:rPr>
        <w:t>at</w:t>
      </w:r>
      <w:r w:rsidR="000A1E19">
        <w:rPr>
          <w:rFonts w:cs="Arial"/>
        </w:rPr>
        <w:t xml:space="preserve"> particular term wa</w:t>
      </w:r>
      <w:r>
        <w:rPr>
          <w:rFonts w:cs="Arial"/>
        </w:rPr>
        <w:t>s?  The answer</w:t>
      </w:r>
      <w:r w:rsidR="000A1E19">
        <w:rPr>
          <w:rFonts w:cs="Arial"/>
        </w:rPr>
        <w:t>s</w:t>
      </w:r>
      <w:r>
        <w:rPr>
          <w:rFonts w:cs="Arial"/>
        </w:rPr>
        <w:t xml:space="preserve"> to these questions </w:t>
      </w:r>
      <w:r w:rsidR="000A1E19">
        <w:rPr>
          <w:rFonts w:cs="Arial"/>
        </w:rPr>
        <w:t xml:space="preserve">are </w:t>
      </w:r>
      <w:r>
        <w:rPr>
          <w:rFonts w:cs="Arial"/>
        </w:rPr>
        <w:t>unknown.</w:t>
      </w:r>
      <w:bookmarkEnd w:id="2"/>
    </w:p>
    <w:p w:rsidR="007E4AFA" w:rsidRPr="00FC1134" w:rsidRDefault="007E4AFA" w:rsidP="00B76278">
      <w:pPr>
        <w:pStyle w:val="CUNumber1"/>
        <w:spacing w:line="360" w:lineRule="auto"/>
        <w:rPr>
          <w:rFonts w:cs="Arial"/>
        </w:rPr>
      </w:pPr>
      <w:r w:rsidRPr="00FC1134">
        <w:rPr>
          <w:rFonts w:cs="Arial"/>
        </w:rPr>
        <w:t>Se</w:t>
      </w:r>
      <w:r w:rsidR="00FC1134" w:rsidRPr="00FC1134">
        <w:rPr>
          <w:rFonts w:cs="Arial"/>
        </w:rPr>
        <w:t xml:space="preserve">cond, it is unclear whether </w:t>
      </w:r>
      <w:r w:rsidR="00B44EA2" w:rsidRPr="00FC1134">
        <w:rPr>
          <w:rFonts w:cs="Arial"/>
        </w:rPr>
        <w:t>the dealings of a respondent with parties other than the applicant (</w:t>
      </w:r>
      <w:r w:rsidR="00B44EA2" w:rsidRPr="00FC1134">
        <w:rPr>
          <w:rFonts w:cs="Arial"/>
          <w:b/>
        </w:rPr>
        <w:t>Third Parties</w:t>
      </w:r>
      <w:r w:rsidR="00B44EA2" w:rsidRPr="00FC1134">
        <w:rPr>
          <w:rFonts w:cs="Arial"/>
        </w:rPr>
        <w:t xml:space="preserve">) should be considered when determining whether a contract is a standard form contract.  To illustrate the point, consider this example.  Business A enters into a contract with Mr Jones.  Business A presents Mr Jones with a pre-prepared contract and gives him no opportunity to negotiate the terms of the contract.  </w:t>
      </w:r>
      <w:r w:rsidRPr="00FC1134">
        <w:rPr>
          <w:rFonts w:cs="Arial"/>
        </w:rPr>
        <w:t>Business A has previously presented the same pre-prepared contract t</w:t>
      </w:r>
      <w:r w:rsidR="00D140D0">
        <w:rPr>
          <w:rFonts w:cs="Arial"/>
        </w:rPr>
        <w:t>o five other customers but gave</w:t>
      </w:r>
      <w:r w:rsidRPr="00FC1134">
        <w:rPr>
          <w:rFonts w:cs="Arial"/>
        </w:rPr>
        <w:t xml:space="preserve"> them </w:t>
      </w:r>
      <w:r w:rsidR="00FC1134" w:rsidRPr="00FC1134">
        <w:rPr>
          <w:rFonts w:cs="Arial"/>
        </w:rPr>
        <w:t xml:space="preserve">an </w:t>
      </w:r>
      <w:r w:rsidRPr="00FC1134">
        <w:rPr>
          <w:rFonts w:cs="Arial"/>
        </w:rPr>
        <w:t>opportunity to negotiate.  Does the fact that Business A allowed these five customers an opportunity to negotiate affect whether Business A and Mr Jones entered</w:t>
      </w:r>
      <w:r w:rsidR="000A1E19">
        <w:rPr>
          <w:rFonts w:cs="Arial"/>
        </w:rPr>
        <w:t xml:space="preserve"> into a standard form contract</w:t>
      </w:r>
      <w:r w:rsidRPr="00FC1134">
        <w:rPr>
          <w:rFonts w:cs="Arial"/>
        </w:rPr>
        <w:t>?  Does it matter which terms Business A was willing to negotiate with the five other customers?  There is no clear answer to th</w:t>
      </w:r>
      <w:r w:rsidR="00FC1134">
        <w:rPr>
          <w:rFonts w:cs="Arial"/>
        </w:rPr>
        <w:t>ese</w:t>
      </w:r>
      <w:r w:rsidRPr="00FC1134">
        <w:rPr>
          <w:rFonts w:cs="Arial"/>
        </w:rPr>
        <w:t xml:space="preserve"> question</w:t>
      </w:r>
      <w:r w:rsidR="000A1E19">
        <w:rPr>
          <w:rFonts w:cs="Arial"/>
        </w:rPr>
        <w:t>s</w:t>
      </w:r>
      <w:r w:rsidRPr="00FC1134">
        <w:rPr>
          <w:rFonts w:cs="Arial"/>
        </w:rPr>
        <w:t xml:space="preserve">.  </w:t>
      </w:r>
      <w:r w:rsidR="00B44EA2" w:rsidRPr="00FC1134">
        <w:rPr>
          <w:rFonts w:cs="Arial"/>
        </w:rPr>
        <w:t xml:space="preserve">A court may certainly consider </w:t>
      </w:r>
      <w:r w:rsidR="000A1E19">
        <w:rPr>
          <w:rFonts w:cs="Arial"/>
        </w:rPr>
        <w:t xml:space="preserve">the </w:t>
      </w:r>
      <w:r w:rsidR="00B44EA2" w:rsidRPr="00FC1134">
        <w:rPr>
          <w:rFonts w:cs="Arial"/>
        </w:rPr>
        <w:t>dealings</w:t>
      </w:r>
      <w:r w:rsidR="000A1E19">
        <w:rPr>
          <w:rFonts w:cs="Arial"/>
        </w:rPr>
        <w:t xml:space="preserve"> with the five other customers</w:t>
      </w:r>
      <w:r w:rsidR="00B44EA2" w:rsidRPr="00FC1134">
        <w:rPr>
          <w:rFonts w:cs="Arial"/>
        </w:rPr>
        <w:t xml:space="preserve"> since s 27(2) specifically says that it may consider “such matters as it thinks relevant”, but this does not mean they are necessarily relevant and hence </w:t>
      </w:r>
      <w:r w:rsidR="00FF15FF">
        <w:rPr>
          <w:rFonts w:cs="Arial"/>
        </w:rPr>
        <w:t>should</w:t>
      </w:r>
      <w:r w:rsidR="00B44EA2" w:rsidRPr="00FC1134">
        <w:rPr>
          <w:rFonts w:cs="Arial"/>
        </w:rPr>
        <w:t xml:space="preserve"> be considered.  </w:t>
      </w:r>
      <w:r w:rsidRPr="00FC1134">
        <w:rPr>
          <w:rFonts w:cs="Arial"/>
        </w:rPr>
        <w:t>In my opinion, under the current state of the law,</w:t>
      </w:r>
      <w:r w:rsidR="00B44EA2" w:rsidRPr="00FC1134">
        <w:rPr>
          <w:rFonts w:cs="Arial"/>
        </w:rPr>
        <w:t xml:space="preserve"> the respondent’s dealings with </w:t>
      </w:r>
      <w:r w:rsidRPr="00FC1134">
        <w:rPr>
          <w:rFonts w:cs="Arial"/>
        </w:rPr>
        <w:t>T</w:t>
      </w:r>
      <w:r w:rsidR="00B44EA2" w:rsidRPr="00FC1134">
        <w:rPr>
          <w:rFonts w:cs="Arial"/>
        </w:rPr>
        <w:t xml:space="preserve">hird </w:t>
      </w:r>
      <w:r w:rsidRPr="00FC1134">
        <w:rPr>
          <w:rFonts w:cs="Arial"/>
        </w:rPr>
        <w:lastRenderedPageBreak/>
        <w:t>P</w:t>
      </w:r>
      <w:r w:rsidR="00B44EA2" w:rsidRPr="00FC1134">
        <w:rPr>
          <w:rFonts w:cs="Arial"/>
        </w:rPr>
        <w:t xml:space="preserve">arties </w:t>
      </w:r>
      <w:r w:rsidR="00FF15FF">
        <w:rPr>
          <w:rFonts w:cs="Arial"/>
        </w:rPr>
        <w:t>are</w:t>
      </w:r>
      <w:r w:rsidRPr="00FC1134">
        <w:rPr>
          <w:rFonts w:cs="Arial"/>
        </w:rPr>
        <w:t xml:space="preserve"> relevant</w:t>
      </w:r>
      <w:r w:rsidR="00B44EA2" w:rsidRPr="00FC1134">
        <w:rPr>
          <w:rFonts w:cs="Arial"/>
        </w:rPr>
        <w:t xml:space="preserve"> to determining whether a contract is a </w:t>
      </w:r>
      <w:r w:rsidR="00B44EA2" w:rsidRPr="00FC1134">
        <w:rPr>
          <w:rFonts w:asciiTheme="majorHAnsi" w:hAnsiTheme="majorHAnsi" w:cs="Cambria"/>
        </w:rPr>
        <w:t>standard</w:t>
      </w:r>
      <w:r w:rsidR="00B44EA2" w:rsidRPr="00FC1134">
        <w:rPr>
          <w:rFonts w:cs="Arial"/>
        </w:rPr>
        <w:t xml:space="preserve"> form contract and hence </w:t>
      </w:r>
      <w:r w:rsidR="00FF15FF">
        <w:rPr>
          <w:rFonts w:cs="Arial"/>
        </w:rPr>
        <w:t>sh</w:t>
      </w:r>
      <w:r w:rsidRPr="00FC1134">
        <w:rPr>
          <w:rFonts w:cs="Arial"/>
        </w:rPr>
        <w:t>ould</w:t>
      </w:r>
      <w:r w:rsidR="00B44EA2" w:rsidRPr="00FC1134">
        <w:rPr>
          <w:rFonts w:cs="Arial"/>
        </w:rPr>
        <w:t xml:space="preserve"> be considered.  This is for four reasons.  </w:t>
      </w:r>
    </w:p>
    <w:p w:rsidR="00B44EA2" w:rsidRPr="007E4AFA" w:rsidRDefault="00B44EA2" w:rsidP="00B76278">
      <w:pPr>
        <w:pStyle w:val="CUNumber1"/>
        <w:spacing w:line="360" w:lineRule="auto"/>
        <w:rPr>
          <w:rFonts w:cs="Arial"/>
        </w:rPr>
      </w:pPr>
      <w:r w:rsidRPr="007E4AFA">
        <w:rPr>
          <w:rFonts w:cs="Arial"/>
        </w:rPr>
        <w:t>First, the common understanding of a standard form contract</w:t>
      </w:r>
      <w:r w:rsidR="00D140D0">
        <w:rPr>
          <w:rFonts w:cs="Arial"/>
        </w:rPr>
        <w:t xml:space="preserve"> </w:t>
      </w:r>
      <w:r w:rsidR="000A1E19">
        <w:rPr>
          <w:rFonts w:cs="Arial"/>
        </w:rPr>
        <w:t>above</w:t>
      </w:r>
      <w:r w:rsidRPr="007E4AFA">
        <w:rPr>
          <w:rFonts w:cs="Arial"/>
        </w:rPr>
        <w:t xml:space="preserve">, indicates that </w:t>
      </w:r>
      <w:r w:rsidR="00D140D0">
        <w:rPr>
          <w:rFonts w:cs="Arial"/>
        </w:rPr>
        <w:t>dealings with Third Parties</w:t>
      </w:r>
      <w:r w:rsidRPr="007E4AFA">
        <w:rPr>
          <w:rFonts w:cs="Arial"/>
        </w:rPr>
        <w:t xml:space="preserve"> are relevant.  </w:t>
      </w:r>
      <w:r w:rsidR="00E23AE7" w:rsidRPr="007E4AFA">
        <w:rPr>
          <w:rFonts w:cs="Arial"/>
        </w:rPr>
        <w:t>In t</w:t>
      </w:r>
      <w:r w:rsidR="00FF15FF">
        <w:rPr>
          <w:rFonts w:cs="Arial"/>
        </w:rPr>
        <w:t xml:space="preserve">he absence of a definition </w:t>
      </w:r>
      <w:r w:rsidR="00E23AE7" w:rsidRPr="007E4AFA">
        <w:rPr>
          <w:rFonts w:cs="Arial"/>
        </w:rPr>
        <w:t xml:space="preserve">in the </w:t>
      </w:r>
      <w:r w:rsidR="00E23AE7">
        <w:rPr>
          <w:rFonts w:cs="Arial"/>
        </w:rPr>
        <w:t>ACL</w:t>
      </w:r>
      <w:r w:rsidR="00E23AE7" w:rsidRPr="007E4AFA">
        <w:rPr>
          <w:rFonts w:cs="Arial"/>
        </w:rPr>
        <w:t xml:space="preserve">, the common understanding of </w:t>
      </w:r>
      <w:r w:rsidR="00D140D0">
        <w:rPr>
          <w:rFonts w:cs="Arial"/>
        </w:rPr>
        <w:t>what is a standard form contract</w:t>
      </w:r>
      <w:r w:rsidR="00E23AE7" w:rsidRPr="007E4AFA">
        <w:rPr>
          <w:rFonts w:cs="Arial"/>
        </w:rPr>
        <w:t xml:space="preserve"> should apply.  </w:t>
      </w:r>
      <w:r w:rsidR="00FF15FF">
        <w:rPr>
          <w:rFonts w:cs="Arial"/>
        </w:rPr>
        <w:t>As noted above, t</w:t>
      </w:r>
      <w:r w:rsidR="000A1E19">
        <w:rPr>
          <w:rFonts w:cs="Arial"/>
        </w:rPr>
        <w:t>he common understanding</w:t>
      </w:r>
      <w:r w:rsidR="005413D7">
        <w:rPr>
          <w:rFonts w:cs="Arial"/>
        </w:rPr>
        <w:t xml:space="preserve"> of a standard form contract</w:t>
      </w:r>
      <w:r w:rsidR="000A1E19">
        <w:rPr>
          <w:rFonts w:cs="Arial"/>
        </w:rPr>
        <w:t xml:space="preserve"> is a contract that "</w:t>
      </w:r>
      <w:r w:rsidR="000A1E19" w:rsidRPr="00294F35">
        <w:rPr>
          <w:rFonts w:cs="Arial"/>
        </w:rPr>
        <w:t>contains the same terms for all transactions of that type</w:t>
      </w:r>
      <w:r w:rsidR="000A1E19">
        <w:rPr>
          <w:rFonts w:cs="Arial"/>
        </w:rPr>
        <w:t>".</w:t>
      </w:r>
      <w:r w:rsidR="000A1E19" w:rsidRPr="007E4AFA">
        <w:rPr>
          <w:rFonts w:cs="Arial"/>
        </w:rPr>
        <w:t xml:space="preserve"> </w:t>
      </w:r>
      <w:r w:rsidR="000A1E19">
        <w:rPr>
          <w:rFonts w:cs="Arial"/>
        </w:rPr>
        <w:t xml:space="preserve"> Since the same transaction </w:t>
      </w:r>
      <w:r w:rsidR="005413D7">
        <w:rPr>
          <w:rFonts w:cs="Arial"/>
        </w:rPr>
        <w:t>was</w:t>
      </w:r>
      <w:r w:rsidR="000A1E19">
        <w:rPr>
          <w:rFonts w:cs="Arial"/>
        </w:rPr>
        <w:t xml:space="preserve"> entered into with Third Parties, we need to consider whether the same</w:t>
      </w:r>
      <w:r w:rsidR="005413D7">
        <w:rPr>
          <w:rFonts w:cs="Arial"/>
        </w:rPr>
        <w:t xml:space="preserve"> terms</w:t>
      </w:r>
      <w:r w:rsidR="000A1E19">
        <w:rPr>
          <w:rFonts w:cs="Arial"/>
        </w:rPr>
        <w:t xml:space="preserve"> </w:t>
      </w:r>
      <w:r w:rsidR="005413D7">
        <w:rPr>
          <w:rFonts w:cs="Arial"/>
        </w:rPr>
        <w:t>were</w:t>
      </w:r>
      <w:r w:rsidR="000A1E19">
        <w:rPr>
          <w:rFonts w:cs="Arial"/>
        </w:rPr>
        <w:t xml:space="preserve"> used for the transactions with the Third Parties.  </w:t>
      </w:r>
      <w:r w:rsidRPr="007E4AFA">
        <w:rPr>
          <w:rFonts w:cs="Arial"/>
        </w:rPr>
        <w:t xml:space="preserve">If we do not consider dealings with </w:t>
      </w:r>
      <w:r w:rsidR="007E4AFA">
        <w:rPr>
          <w:rFonts w:cs="Arial"/>
        </w:rPr>
        <w:t>T</w:t>
      </w:r>
      <w:r w:rsidRPr="007E4AFA">
        <w:rPr>
          <w:rFonts w:cs="Arial"/>
        </w:rPr>
        <w:t xml:space="preserve">hird </w:t>
      </w:r>
      <w:r w:rsidR="007E4AFA">
        <w:rPr>
          <w:rFonts w:cs="Arial"/>
        </w:rPr>
        <w:t>P</w:t>
      </w:r>
      <w:r w:rsidRPr="007E4AFA">
        <w:rPr>
          <w:rFonts w:cs="Arial"/>
        </w:rPr>
        <w:t xml:space="preserve">arties, the court will simply focus on the dealings between the applicant and the respondent.  This could lead to a counterintuitive result, namely, a court could conclude that a particular set of terms is a standard form contract even if those terms were only used in relation to the applicant.     </w:t>
      </w:r>
    </w:p>
    <w:p w:rsidR="00B44EA2" w:rsidRPr="00471133" w:rsidRDefault="00B44EA2" w:rsidP="00B76278">
      <w:pPr>
        <w:pStyle w:val="CUNumber1"/>
        <w:spacing w:line="360" w:lineRule="auto"/>
        <w:rPr>
          <w:rFonts w:cs="Arial"/>
        </w:rPr>
      </w:pPr>
      <w:r w:rsidRPr="00471133">
        <w:rPr>
          <w:rFonts w:cs="Arial"/>
        </w:rPr>
        <w:t xml:space="preserve">Secondly, s 27 </w:t>
      </w:r>
      <w:r w:rsidR="007E4AFA">
        <w:rPr>
          <w:rFonts w:cs="Arial"/>
        </w:rPr>
        <w:t xml:space="preserve">of the ACL </w:t>
      </w:r>
      <w:r w:rsidRPr="00471133">
        <w:rPr>
          <w:rFonts w:cs="Arial"/>
        </w:rPr>
        <w:t xml:space="preserve">suggests that the respondent’s dealings with </w:t>
      </w:r>
      <w:r w:rsidR="007E4AFA">
        <w:rPr>
          <w:rFonts w:cs="Arial"/>
        </w:rPr>
        <w:t>T</w:t>
      </w:r>
      <w:r w:rsidRPr="00471133">
        <w:rPr>
          <w:rFonts w:cs="Arial"/>
        </w:rPr>
        <w:t xml:space="preserve">hird </w:t>
      </w:r>
      <w:r w:rsidR="007E4AFA">
        <w:rPr>
          <w:rFonts w:cs="Arial"/>
        </w:rPr>
        <w:t>P</w:t>
      </w:r>
      <w:r w:rsidRPr="00471133">
        <w:rPr>
          <w:rFonts w:cs="Arial"/>
        </w:rPr>
        <w:t xml:space="preserve">arties are relevant.  Section 27(1) creates a presumption that a set of terms is a standard form contract unless the respondent establishes otherwise.  Section 27(1) refers to a “party to </w:t>
      </w:r>
      <w:r w:rsidRPr="00D140D0">
        <w:rPr>
          <w:rFonts w:cs="Arial"/>
          <w:i/>
        </w:rPr>
        <w:t>a proceeding</w:t>
      </w:r>
      <w:r w:rsidRPr="00471133">
        <w:rPr>
          <w:rFonts w:cs="Arial"/>
        </w:rPr>
        <w:t xml:space="preserve">”.  Section 27(2), which lists the factors a court must consider when determining whether a set of terms is in standard form, does not refer to a “party to </w:t>
      </w:r>
      <w:r w:rsidRPr="00D140D0">
        <w:rPr>
          <w:rFonts w:cs="Arial"/>
          <w:i/>
        </w:rPr>
        <w:t>a proceeding</w:t>
      </w:r>
      <w:r w:rsidRPr="00471133">
        <w:rPr>
          <w:rFonts w:cs="Arial"/>
        </w:rPr>
        <w:t xml:space="preserve">” but instead simply refers to parties.  The fact that s 27(2) does not refer to a “party to </w:t>
      </w:r>
      <w:r w:rsidRPr="00D140D0">
        <w:rPr>
          <w:rFonts w:cs="Arial"/>
          <w:i/>
        </w:rPr>
        <w:t>a proceeding</w:t>
      </w:r>
      <w:r w:rsidRPr="00471133">
        <w:rPr>
          <w:rFonts w:cs="Arial"/>
        </w:rPr>
        <w:t xml:space="preserve">” suggests that a court may consider contracts and transactions that were not entered into by both the </w:t>
      </w:r>
      <w:r w:rsidRPr="00B44EA2">
        <w:rPr>
          <w:rFonts w:asciiTheme="majorHAnsi" w:hAnsiTheme="majorHAnsi" w:cs="Cambria"/>
        </w:rPr>
        <w:t>applicant</w:t>
      </w:r>
      <w:r w:rsidRPr="00471133">
        <w:rPr>
          <w:rFonts w:cs="Arial"/>
        </w:rPr>
        <w:t xml:space="preserve"> and </w:t>
      </w:r>
      <w:r w:rsidR="00FF15FF">
        <w:rPr>
          <w:rFonts w:cs="Arial"/>
        </w:rPr>
        <w:t xml:space="preserve">the </w:t>
      </w:r>
      <w:r w:rsidRPr="00471133">
        <w:rPr>
          <w:rFonts w:cs="Arial"/>
        </w:rPr>
        <w:t xml:space="preserve">respondent (i.e. transactions with </w:t>
      </w:r>
      <w:r w:rsidR="000A1E19">
        <w:rPr>
          <w:rFonts w:cs="Arial"/>
        </w:rPr>
        <w:t>T</w:t>
      </w:r>
      <w:r w:rsidRPr="00471133">
        <w:rPr>
          <w:rFonts w:cs="Arial"/>
        </w:rPr>
        <w:t xml:space="preserve">hird </w:t>
      </w:r>
      <w:r w:rsidR="000A1E19">
        <w:rPr>
          <w:rFonts w:cs="Arial"/>
        </w:rPr>
        <w:t>P</w:t>
      </w:r>
      <w:r w:rsidRPr="00471133">
        <w:rPr>
          <w:rFonts w:cs="Arial"/>
        </w:rPr>
        <w:t xml:space="preserve">arties).  Since a court </w:t>
      </w:r>
      <w:r w:rsidRPr="00471133">
        <w:rPr>
          <w:rFonts w:cs="Arial"/>
          <w:i/>
        </w:rPr>
        <w:t>must</w:t>
      </w:r>
      <w:r w:rsidRPr="00471133">
        <w:rPr>
          <w:rFonts w:cs="Arial"/>
        </w:rPr>
        <w:t xml:space="preserve"> consider the factors in s 27(2), it appears that it </w:t>
      </w:r>
      <w:r w:rsidRPr="00471133">
        <w:rPr>
          <w:rFonts w:cs="Arial"/>
          <w:i/>
        </w:rPr>
        <w:t xml:space="preserve">must </w:t>
      </w:r>
      <w:r w:rsidRPr="00471133">
        <w:rPr>
          <w:rFonts w:cs="Arial"/>
        </w:rPr>
        <w:t xml:space="preserve">consider transactions with </w:t>
      </w:r>
      <w:r w:rsidR="00E23AE7">
        <w:rPr>
          <w:rFonts w:cs="Arial"/>
        </w:rPr>
        <w:t>Third P</w:t>
      </w:r>
      <w:r w:rsidRPr="00471133">
        <w:rPr>
          <w:rFonts w:cs="Arial"/>
        </w:rPr>
        <w:t>arties.</w:t>
      </w:r>
    </w:p>
    <w:p w:rsidR="00B44EA2" w:rsidRPr="00471133" w:rsidRDefault="00B44EA2" w:rsidP="00B76278">
      <w:pPr>
        <w:pStyle w:val="CUNumber1"/>
        <w:spacing w:line="360" w:lineRule="auto"/>
        <w:rPr>
          <w:rFonts w:cs="Arial"/>
        </w:rPr>
      </w:pPr>
      <w:r w:rsidRPr="00471133">
        <w:rPr>
          <w:rFonts w:cs="Arial"/>
        </w:rPr>
        <w:t xml:space="preserve">Thirdly, the explanatory memorandum that introduced the </w:t>
      </w:r>
      <w:r w:rsidR="00FF15FF">
        <w:rPr>
          <w:rFonts w:cs="Arial"/>
        </w:rPr>
        <w:t>UCT</w:t>
      </w:r>
      <w:r w:rsidRPr="00471133">
        <w:rPr>
          <w:rFonts w:cs="Arial"/>
        </w:rPr>
        <w:t xml:space="preserve"> provisions </w:t>
      </w:r>
      <w:r>
        <w:rPr>
          <w:rFonts w:cs="Arial"/>
        </w:rPr>
        <w:t>(</w:t>
      </w:r>
      <w:r>
        <w:rPr>
          <w:rFonts w:cs="Arial"/>
          <w:b/>
        </w:rPr>
        <w:t>Explanatory Memorandum</w:t>
      </w:r>
      <w:r>
        <w:rPr>
          <w:rFonts w:cs="Arial"/>
        </w:rPr>
        <w:t>)</w:t>
      </w:r>
      <w:r>
        <w:rPr>
          <w:rFonts w:cs="Arial"/>
          <w:b/>
        </w:rPr>
        <w:t xml:space="preserve"> </w:t>
      </w:r>
      <w:r w:rsidRPr="00471133">
        <w:rPr>
          <w:rFonts w:cs="Arial"/>
        </w:rPr>
        <w:t xml:space="preserve">suggests that the </w:t>
      </w:r>
      <w:r w:rsidRPr="00B44EA2">
        <w:rPr>
          <w:rFonts w:asciiTheme="majorHAnsi" w:hAnsiTheme="majorHAnsi" w:cs="Cambria"/>
        </w:rPr>
        <w:t>respondent’s</w:t>
      </w:r>
      <w:r w:rsidRPr="00471133">
        <w:rPr>
          <w:rFonts w:cs="Arial"/>
        </w:rPr>
        <w:t xml:space="preserve"> dealings with </w:t>
      </w:r>
      <w:r w:rsidR="007E4AFA">
        <w:rPr>
          <w:rFonts w:cs="Arial"/>
        </w:rPr>
        <w:t>T</w:t>
      </w:r>
      <w:r w:rsidRPr="00471133">
        <w:rPr>
          <w:rFonts w:cs="Arial"/>
        </w:rPr>
        <w:t xml:space="preserve">hird </w:t>
      </w:r>
      <w:r w:rsidR="007E4AFA">
        <w:rPr>
          <w:rFonts w:cs="Arial"/>
        </w:rPr>
        <w:t>P</w:t>
      </w:r>
      <w:r w:rsidRPr="00471133">
        <w:rPr>
          <w:rFonts w:cs="Arial"/>
        </w:rPr>
        <w:t>arties are relevant.</w:t>
      </w:r>
      <w:r>
        <w:rPr>
          <w:rFonts w:cs="Arial"/>
        </w:rPr>
        <w:t xml:space="preserve">  The Explanatory M</w:t>
      </w:r>
      <w:r w:rsidRPr="00471133">
        <w:rPr>
          <w:rFonts w:cs="Arial"/>
        </w:rPr>
        <w:t xml:space="preserve">emorandum says that the </w:t>
      </w:r>
      <w:r>
        <w:rPr>
          <w:rFonts w:cs="Arial"/>
        </w:rPr>
        <w:t xml:space="preserve">provisions place the onus </w:t>
      </w:r>
      <w:r w:rsidRPr="00471133">
        <w:rPr>
          <w:rFonts w:cs="Arial"/>
        </w:rPr>
        <w:t>on the respondent to establish that a set of terms is not a standard form contract because the applicant “will usually only have evidence of the existence of one contract—their own</w:t>
      </w:r>
      <w:r w:rsidRPr="007E4AFA">
        <w:rPr>
          <w:rStyle w:val="FootnoteReference"/>
          <w:rFonts w:cs="Arial"/>
          <w:vertAlign w:val="baseline"/>
        </w:rPr>
        <w:t>” and</w:t>
      </w:r>
      <w:r w:rsidRPr="00471133">
        <w:rPr>
          <w:rStyle w:val="FootnoteReference"/>
          <w:rFonts w:cs="Arial"/>
        </w:rPr>
        <w:t xml:space="preserve"> </w:t>
      </w:r>
      <w:r w:rsidRPr="00471133">
        <w:rPr>
          <w:rFonts w:cs="Arial"/>
        </w:rPr>
        <w:t xml:space="preserve">“the respondent is best placed to bring evidence regarding the nature of the contracts it uses and the way in which it deals with </w:t>
      </w:r>
      <w:r w:rsidRPr="00885338">
        <w:rPr>
          <w:rFonts w:cs="Arial"/>
          <w:i/>
        </w:rPr>
        <w:t>other parties</w:t>
      </w:r>
      <w:r w:rsidRPr="00471133">
        <w:rPr>
          <w:rFonts w:cs="Arial"/>
        </w:rPr>
        <w:t xml:space="preserve"> to such contracts”.</w:t>
      </w:r>
      <w:r w:rsidRPr="00471133">
        <w:rPr>
          <w:rStyle w:val="FootnoteReference"/>
          <w:rFonts w:cs="Arial"/>
        </w:rPr>
        <w:footnoteReference w:id="2"/>
      </w:r>
      <w:r w:rsidRPr="00471133">
        <w:rPr>
          <w:rFonts w:cs="Arial"/>
        </w:rPr>
        <w:t xml:space="preserve">  The</w:t>
      </w:r>
      <w:r>
        <w:rPr>
          <w:rFonts w:cs="Arial"/>
        </w:rPr>
        <w:t>se two quotes, particularly the</w:t>
      </w:r>
      <w:r w:rsidRPr="00471133">
        <w:rPr>
          <w:rFonts w:cs="Arial"/>
        </w:rPr>
        <w:t xml:space="preserve"> reference to “other parties”</w:t>
      </w:r>
      <w:r>
        <w:rPr>
          <w:rFonts w:cs="Arial"/>
        </w:rPr>
        <w:t>,</w:t>
      </w:r>
      <w:r w:rsidRPr="00471133">
        <w:rPr>
          <w:rFonts w:cs="Arial"/>
        </w:rPr>
        <w:t xml:space="preserve"> suggest that Parliament intended a c</w:t>
      </w:r>
      <w:r w:rsidR="00D140D0">
        <w:rPr>
          <w:rFonts w:cs="Arial"/>
        </w:rPr>
        <w:t>ourt to consider dealings with T</w:t>
      </w:r>
      <w:r w:rsidRPr="00471133">
        <w:rPr>
          <w:rFonts w:cs="Arial"/>
        </w:rPr>
        <w:t xml:space="preserve">hird </w:t>
      </w:r>
      <w:r w:rsidR="00D140D0">
        <w:rPr>
          <w:rFonts w:cs="Arial"/>
        </w:rPr>
        <w:t>P</w:t>
      </w:r>
      <w:r w:rsidRPr="00471133">
        <w:rPr>
          <w:rFonts w:cs="Arial"/>
        </w:rPr>
        <w:t>arties.</w:t>
      </w:r>
    </w:p>
    <w:p w:rsidR="00B44EA2" w:rsidRPr="00471133" w:rsidRDefault="00B44EA2" w:rsidP="00B76278">
      <w:pPr>
        <w:pStyle w:val="CUNumber1"/>
        <w:spacing w:line="360" w:lineRule="auto"/>
        <w:rPr>
          <w:rFonts w:cs="Arial"/>
          <w:i/>
        </w:rPr>
      </w:pPr>
      <w:r w:rsidRPr="00471133">
        <w:rPr>
          <w:rFonts w:cs="Arial"/>
        </w:rPr>
        <w:t xml:space="preserve">Fourthly, the limited case law on this issue suggests that </w:t>
      </w:r>
      <w:r w:rsidR="007E4AFA">
        <w:rPr>
          <w:rFonts w:cs="Arial"/>
        </w:rPr>
        <w:t>the respondent’s dealings with T</w:t>
      </w:r>
      <w:r w:rsidRPr="00471133">
        <w:rPr>
          <w:rFonts w:cs="Arial"/>
        </w:rPr>
        <w:t xml:space="preserve">hird </w:t>
      </w:r>
      <w:r w:rsidR="007E4AFA">
        <w:rPr>
          <w:rFonts w:cs="Arial"/>
        </w:rPr>
        <w:t>P</w:t>
      </w:r>
      <w:r w:rsidRPr="00471133">
        <w:rPr>
          <w:rFonts w:cs="Arial"/>
        </w:rPr>
        <w:t xml:space="preserve">arties </w:t>
      </w:r>
      <w:r>
        <w:rPr>
          <w:rFonts w:cs="Arial"/>
        </w:rPr>
        <w:t>are</w:t>
      </w:r>
      <w:r w:rsidRPr="00471133">
        <w:rPr>
          <w:rFonts w:cs="Arial"/>
        </w:rPr>
        <w:t xml:space="preserve"> relevant.  The only case which has considered the meaning of “standard form contract” in detail for the purpose</w:t>
      </w:r>
      <w:r>
        <w:rPr>
          <w:rFonts w:cs="Arial"/>
        </w:rPr>
        <w:t>s</w:t>
      </w:r>
      <w:r w:rsidRPr="00471133">
        <w:rPr>
          <w:rFonts w:cs="Arial"/>
        </w:rPr>
        <w:t xml:space="preserve"> of the UCT provisions is </w:t>
      </w:r>
      <w:r w:rsidRPr="00471133">
        <w:rPr>
          <w:rFonts w:cs="Arial"/>
          <w:i/>
        </w:rPr>
        <w:t>Ferme v Kimberley Discovery Cruises Pty Ltd</w:t>
      </w:r>
      <w:r w:rsidRPr="00471133">
        <w:rPr>
          <w:rFonts w:cs="Arial"/>
        </w:rPr>
        <w:t>.</w:t>
      </w:r>
      <w:r w:rsidRPr="00471133">
        <w:rPr>
          <w:rStyle w:val="FootnoteReference"/>
          <w:rFonts w:cs="Arial"/>
        </w:rPr>
        <w:footnoteReference w:id="3"/>
      </w:r>
      <w:r w:rsidRPr="00471133">
        <w:rPr>
          <w:rFonts w:cs="Arial"/>
        </w:rPr>
        <w:t xml:space="preserve">  Jarrett J of the Federal Circuit Court considered whether a contract concerning a holiday cruise was a standard form contract.</w:t>
      </w:r>
      <w:r w:rsidRPr="00471133">
        <w:rPr>
          <w:rStyle w:val="FootnoteReference"/>
          <w:rFonts w:cs="Arial"/>
        </w:rPr>
        <w:footnoteReference w:id="4"/>
      </w:r>
      <w:r w:rsidRPr="00471133">
        <w:rPr>
          <w:rFonts w:cs="Arial"/>
        </w:rPr>
        <w:t xml:space="preserve">  His Honour did not specifically address the question of whether the respondent’s dealings with </w:t>
      </w:r>
      <w:r w:rsidR="00FF15FF">
        <w:rPr>
          <w:rFonts w:cs="Arial"/>
        </w:rPr>
        <w:t>T</w:t>
      </w:r>
      <w:r w:rsidRPr="00471133">
        <w:rPr>
          <w:rFonts w:cs="Arial"/>
        </w:rPr>
        <w:t xml:space="preserve">hird </w:t>
      </w:r>
      <w:r w:rsidR="00FF15FF">
        <w:rPr>
          <w:rFonts w:cs="Arial"/>
        </w:rPr>
        <w:t>P</w:t>
      </w:r>
      <w:r w:rsidRPr="00471133">
        <w:rPr>
          <w:rFonts w:cs="Arial"/>
        </w:rPr>
        <w:t>arties w</w:t>
      </w:r>
      <w:r>
        <w:rPr>
          <w:rFonts w:cs="Arial"/>
        </w:rPr>
        <w:t>ere</w:t>
      </w:r>
      <w:r w:rsidRPr="00471133">
        <w:rPr>
          <w:rFonts w:cs="Arial"/>
        </w:rPr>
        <w:t xml:space="preserve"> relevant but appears to have proceeded on the assumption </w:t>
      </w:r>
      <w:r>
        <w:rPr>
          <w:rFonts w:cs="Arial"/>
        </w:rPr>
        <w:t>that they</w:t>
      </w:r>
      <w:r w:rsidRPr="00471133">
        <w:rPr>
          <w:rFonts w:cs="Arial"/>
        </w:rPr>
        <w:t xml:space="preserve"> w</w:t>
      </w:r>
      <w:r>
        <w:rPr>
          <w:rFonts w:cs="Arial"/>
        </w:rPr>
        <w:t>ere</w:t>
      </w:r>
      <w:r w:rsidRPr="00471133">
        <w:rPr>
          <w:rFonts w:cs="Arial"/>
        </w:rPr>
        <w:t xml:space="preserve"> since his Honour </w:t>
      </w:r>
      <w:r>
        <w:rPr>
          <w:rFonts w:cs="Arial"/>
        </w:rPr>
        <w:t>received</w:t>
      </w:r>
      <w:r w:rsidRPr="00471133">
        <w:rPr>
          <w:rFonts w:cs="Arial"/>
        </w:rPr>
        <w:t xml:space="preserve"> evidence about the respondent’s dealings with “potential travellers”, “would-</w:t>
      </w:r>
      <w:r w:rsidRPr="00471133">
        <w:rPr>
          <w:rFonts w:cs="Arial"/>
        </w:rPr>
        <w:lastRenderedPageBreak/>
        <w:t>be travellers”, “clients” and “passengers” who appear not to have been the applicants in the immediate case.</w:t>
      </w:r>
      <w:r w:rsidRPr="00471133">
        <w:rPr>
          <w:rStyle w:val="FootnoteReference"/>
          <w:rFonts w:cs="Arial"/>
        </w:rPr>
        <w:footnoteReference w:id="5"/>
      </w:r>
    </w:p>
    <w:p w:rsidR="00B44EA2" w:rsidRPr="00471133" w:rsidRDefault="00B44EA2" w:rsidP="00B76278">
      <w:pPr>
        <w:pStyle w:val="CUNumber1"/>
        <w:spacing w:line="360" w:lineRule="auto"/>
        <w:rPr>
          <w:rFonts w:cs="Arial"/>
        </w:rPr>
      </w:pPr>
      <w:r w:rsidRPr="00471133">
        <w:rPr>
          <w:rFonts w:cs="Arial"/>
        </w:rPr>
        <w:t xml:space="preserve">If dealings with </w:t>
      </w:r>
      <w:r w:rsidR="00FC1134">
        <w:rPr>
          <w:rFonts w:cs="Arial"/>
        </w:rPr>
        <w:t>T</w:t>
      </w:r>
      <w:r w:rsidRPr="00B44EA2">
        <w:rPr>
          <w:rFonts w:asciiTheme="majorHAnsi" w:hAnsiTheme="majorHAnsi" w:cs="Cambria"/>
        </w:rPr>
        <w:t>hird</w:t>
      </w:r>
      <w:r w:rsidR="00FC1134">
        <w:rPr>
          <w:rFonts w:cs="Arial"/>
        </w:rPr>
        <w:t xml:space="preserve"> P</w:t>
      </w:r>
      <w:r w:rsidRPr="00471133">
        <w:rPr>
          <w:rFonts w:cs="Arial"/>
        </w:rPr>
        <w:t xml:space="preserve">arties are relevant, which appears to be the case, there </w:t>
      </w:r>
      <w:r>
        <w:rPr>
          <w:rFonts w:cs="Arial"/>
        </w:rPr>
        <w:t>may</w:t>
      </w:r>
      <w:r w:rsidRPr="00471133">
        <w:rPr>
          <w:rFonts w:cs="Arial"/>
        </w:rPr>
        <w:t xml:space="preserve"> be some troublesome consequences.</w:t>
      </w:r>
    </w:p>
    <w:p w:rsidR="00B44EA2" w:rsidRPr="00471133" w:rsidRDefault="00B44EA2" w:rsidP="00B76278">
      <w:pPr>
        <w:pStyle w:val="CUNumber1"/>
        <w:spacing w:line="360" w:lineRule="auto"/>
        <w:rPr>
          <w:rFonts w:cs="Arial"/>
        </w:rPr>
      </w:pPr>
      <w:bookmarkStart w:id="3" w:name="_Ref466297873"/>
      <w:r w:rsidRPr="00471133">
        <w:rPr>
          <w:rFonts w:cs="Arial"/>
        </w:rPr>
        <w:t>First, it may create a large evidentiary exercise for the respondent if the</w:t>
      </w:r>
      <w:r w:rsidR="00FF15FF">
        <w:rPr>
          <w:rFonts w:cs="Arial"/>
        </w:rPr>
        <w:t>y</w:t>
      </w:r>
      <w:r w:rsidRPr="00471133">
        <w:rPr>
          <w:rFonts w:cs="Arial"/>
        </w:rPr>
        <w:t xml:space="preserve"> wish to displace the presumption that </w:t>
      </w:r>
      <w:r>
        <w:rPr>
          <w:rFonts w:cs="Arial"/>
        </w:rPr>
        <w:t>a</w:t>
      </w:r>
      <w:r w:rsidRPr="00471133">
        <w:rPr>
          <w:rFonts w:cs="Arial"/>
        </w:rPr>
        <w:t xml:space="preserve"> </w:t>
      </w:r>
      <w:r>
        <w:rPr>
          <w:rFonts w:cs="Arial"/>
        </w:rPr>
        <w:t>contract</w:t>
      </w:r>
      <w:r w:rsidRPr="00471133">
        <w:rPr>
          <w:rFonts w:cs="Arial"/>
        </w:rPr>
        <w:t xml:space="preserve"> is a standard form contract.  A respondent may have to present evi</w:t>
      </w:r>
      <w:r w:rsidR="00FC1134">
        <w:rPr>
          <w:rFonts w:cs="Arial"/>
        </w:rPr>
        <w:t>dence of all its dealings with T</w:t>
      </w:r>
      <w:r w:rsidRPr="00471133">
        <w:rPr>
          <w:rFonts w:cs="Arial"/>
        </w:rPr>
        <w:t xml:space="preserve">hird </w:t>
      </w:r>
      <w:r w:rsidR="00FC1134">
        <w:rPr>
          <w:rFonts w:cs="Arial"/>
        </w:rPr>
        <w:t>P</w:t>
      </w:r>
      <w:r w:rsidRPr="00471133">
        <w:rPr>
          <w:rFonts w:cs="Arial"/>
        </w:rPr>
        <w:t xml:space="preserve">arties or run the risk of not </w:t>
      </w:r>
      <w:r w:rsidR="000A1E19">
        <w:rPr>
          <w:rFonts w:cs="Arial"/>
        </w:rPr>
        <w:t>displacing</w:t>
      </w:r>
      <w:r w:rsidRPr="00471133">
        <w:rPr>
          <w:rFonts w:cs="Arial"/>
        </w:rPr>
        <w:t xml:space="preserve"> the presumption.  </w:t>
      </w:r>
      <w:r w:rsidR="00D140D0">
        <w:rPr>
          <w:rFonts w:cs="Arial"/>
        </w:rPr>
        <w:t>Hence, t</w:t>
      </w:r>
      <w:r w:rsidRPr="00471133">
        <w:rPr>
          <w:rFonts w:cs="Arial"/>
        </w:rPr>
        <w:t xml:space="preserve">he respondent may need to </w:t>
      </w:r>
      <w:r w:rsidR="000A1E19">
        <w:rPr>
          <w:rFonts w:cs="Arial"/>
        </w:rPr>
        <w:t>produce</w:t>
      </w:r>
      <w:r w:rsidRPr="00471133">
        <w:rPr>
          <w:rFonts w:cs="Arial"/>
        </w:rPr>
        <w:t xml:space="preserve"> copies of a</w:t>
      </w:r>
      <w:r w:rsidR="00FC1134">
        <w:rPr>
          <w:rFonts w:cs="Arial"/>
        </w:rPr>
        <w:t>ll contracts entered into with Third P</w:t>
      </w:r>
      <w:r w:rsidRPr="00471133">
        <w:rPr>
          <w:rFonts w:cs="Arial"/>
        </w:rPr>
        <w:t xml:space="preserve">arties as well </w:t>
      </w:r>
      <w:r w:rsidR="00D4027C">
        <w:rPr>
          <w:rFonts w:cs="Arial"/>
        </w:rPr>
        <w:t xml:space="preserve">as obtain </w:t>
      </w:r>
      <w:r w:rsidR="00FF15FF">
        <w:rPr>
          <w:rFonts w:cs="Arial"/>
        </w:rPr>
        <w:t xml:space="preserve">oral </w:t>
      </w:r>
      <w:r w:rsidR="00D4027C">
        <w:rPr>
          <w:rFonts w:cs="Arial"/>
        </w:rPr>
        <w:t>evidence from Third Parties about the opportunity they were given to negotiate</w:t>
      </w:r>
      <w:r w:rsidR="005B36E9">
        <w:rPr>
          <w:rFonts w:cs="Arial"/>
        </w:rPr>
        <w:t xml:space="preserve"> these contracts</w:t>
      </w:r>
      <w:r w:rsidR="00D4027C">
        <w:rPr>
          <w:rFonts w:cs="Arial"/>
        </w:rPr>
        <w:t>.  This will result in the</w:t>
      </w:r>
      <w:r w:rsidRPr="00471133">
        <w:rPr>
          <w:rFonts w:cs="Arial"/>
        </w:rPr>
        <w:t xml:space="preserve"> applicant, respondent and court consider</w:t>
      </w:r>
      <w:r w:rsidR="00D4027C">
        <w:rPr>
          <w:rFonts w:cs="Arial"/>
        </w:rPr>
        <w:t>ing</w:t>
      </w:r>
      <w:r w:rsidRPr="00471133">
        <w:rPr>
          <w:rFonts w:cs="Arial"/>
        </w:rPr>
        <w:t xml:space="preserve"> a significant volume of evidence simply to determine whether the </w:t>
      </w:r>
      <w:r w:rsidR="00D4027C">
        <w:rPr>
          <w:rFonts w:cs="Arial"/>
        </w:rPr>
        <w:t>UCT</w:t>
      </w:r>
      <w:r w:rsidRPr="00471133">
        <w:rPr>
          <w:rFonts w:cs="Arial"/>
        </w:rPr>
        <w:t xml:space="preserve"> provisions apply</w:t>
      </w:r>
      <w:r w:rsidR="00D4027C">
        <w:rPr>
          <w:rFonts w:cs="Arial"/>
        </w:rPr>
        <w:t xml:space="preserve">.  </w:t>
      </w:r>
      <w:bookmarkEnd w:id="3"/>
    </w:p>
    <w:p w:rsidR="00B44EA2" w:rsidRPr="00471133" w:rsidRDefault="00B44EA2" w:rsidP="00B76278">
      <w:pPr>
        <w:pStyle w:val="CUNumber1"/>
        <w:spacing w:line="360" w:lineRule="auto"/>
        <w:rPr>
          <w:rFonts w:cs="Arial"/>
        </w:rPr>
      </w:pPr>
      <w:r w:rsidRPr="00471133">
        <w:rPr>
          <w:rFonts w:cs="Arial"/>
        </w:rPr>
        <w:t xml:space="preserve">Second, it may </w:t>
      </w:r>
      <w:r w:rsidRPr="00B44EA2">
        <w:rPr>
          <w:rFonts w:asciiTheme="majorHAnsi" w:hAnsiTheme="majorHAnsi" w:cs="Cambria"/>
        </w:rPr>
        <w:t>be</w:t>
      </w:r>
      <w:r w:rsidRPr="00471133">
        <w:rPr>
          <w:rFonts w:cs="Arial"/>
        </w:rPr>
        <w:t xml:space="preserve"> difficult for an applicant to know whether it has entered into a standard form contract, because it is unlikely to know about the respondent’s dealings with </w:t>
      </w:r>
      <w:r w:rsidR="00FC1134">
        <w:rPr>
          <w:rFonts w:cs="Arial"/>
        </w:rPr>
        <w:t>T</w:t>
      </w:r>
      <w:r w:rsidRPr="00471133">
        <w:rPr>
          <w:rFonts w:cs="Arial"/>
        </w:rPr>
        <w:t xml:space="preserve">hird </w:t>
      </w:r>
      <w:r w:rsidR="00FC1134">
        <w:rPr>
          <w:rFonts w:cs="Arial"/>
        </w:rPr>
        <w:t>P</w:t>
      </w:r>
      <w:r w:rsidRPr="00471133">
        <w:rPr>
          <w:rFonts w:cs="Arial"/>
        </w:rPr>
        <w:t xml:space="preserve">arties.  Hence, an applicant may commence proceedings without much certainty of whether it will establish one of the threshold requirements for invoking the </w:t>
      </w:r>
      <w:r w:rsidR="00D4027C">
        <w:rPr>
          <w:rFonts w:cs="Arial"/>
        </w:rPr>
        <w:t>UCT</w:t>
      </w:r>
      <w:r w:rsidRPr="00471133">
        <w:rPr>
          <w:rFonts w:cs="Arial"/>
        </w:rPr>
        <w:t xml:space="preserve"> provisions.  </w:t>
      </w:r>
    </w:p>
    <w:p w:rsidR="00B44EA2" w:rsidRDefault="00B44EA2" w:rsidP="00B76278">
      <w:pPr>
        <w:pStyle w:val="CUNumber1"/>
        <w:spacing w:line="360" w:lineRule="auto"/>
        <w:rPr>
          <w:rFonts w:cs="Arial"/>
        </w:rPr>
      </w:pPr>
      <w:bookmarkStart w:id="4" w:name="_Ref466297876"/>
      <w:r w:rsidRPr="00471133">
        <w:rPr>
          <w:rFonts w:cs="Arial"/>
        </w:rPr>
        <w:t xml:space="preserve">Third, an applicant </w:t>
      </w:r>
      <w:r w:rsidRPr="00B44EA2">
        <w:rPr>
          <w:rFonts w:asciiTheme="majorHAnsi" w:hAnsiTheme="majorHAnsi" w:cs="Cambria"/>
        </w:rPr>
        <w:t>may</w:t>
      </w:r>
      <w:r w:rsidRPr="00471133">
        <w:rPr>
          <w:rFonts w:cs="Arial"/>
        </w:rPr>
        <w:t xml:space="preserve"> be unable to avail itself of the </w:t>
      </w:r>
      <w:r w:rsidR="00D4027C">
        <w:rPr>
          <w:rFonts w:cs="Arial"/>
        </w:rPr>
        <w:t>UCT</w:t>
      </w:r>
      <w:r w:rsidRPr="00471133">
        <w:rPr>
          <w:rFonts w:cs="Arial"/>
        </w:rPr>
        <w:t xml:space="preserve"> provisions even though a</w:t>
      </w:r>
      <w:r w:rsidR="00FF15FF">
        <w:rPr>
          <w:rFonts w:cs="Arial"/>
        </w:rPr>
        <w:t>n unclear,</w:t>
      </w:r>
      <w:r w:rsidRPr="00471133">
        <w:rPr>
          <w:rFonts w:cs="Arial"/>
        </w:rPr>
        <w:t xml:space="preserve"> pre-prepared contract was offered to it on a take-it-or-leave basis by a respondent that had far greater bargaining power.  This situation could arise if the </w:t>
      </w:r>
      <w:r w:rsidR="00FC1134">
        <w:rPr>
          <w:rFonts w:cs="Arial"/>
        </w:rPr>
        <w:t>respondent did not deal with T</w:t>
      </w:r>
      <w:r w:rsidRPr="00471133">
        <w:rPr>
          <w:rFonts w:cs="Arial"/>
        </w:rPr>
        <w:t xml:space="preserve">hird </w:t>
      </w:r>
      <w:r w:rsidR="00FC1134">
        <w:rPr>
          <w:rFonts w:cs="Arial"/>
        </w:rPr>
        <w:t>P</w:t>
      </w:r>
      <w:r w:rsidRPr="00471133">
        <w:rPr>
          <w:rFonts w:cs="Arial"/>
        </w:rPr>
        <w:t xml:space="preserve">arties, or perhaps a certain </w:t>
      </w:r>
      <w:r w:rsidR="00FF15FF">
        <w:rPr>
          <w:rFonts w:cs="Arial"/>
        </w:rPr>
        <w:t>number</w:t>
      </w:r>
      <w:r w:rsidRPr="00471133">
        <w:rPr>
          <w:rFonts w:cs="Arial"/>
        </w:rPr>
        <w:t xml:space="preserve"> of </w:t>
      </w:r>
      <w:r w:rsidR="00FC1134">
        <w:rPr>
          <w:rFonts w:cs="Arial"/>
        </w:rPr>
        <w:t>T</w:t>
      </w:r>
      <w:r w:rsidRPr="00471133">
        <w:rPr>
          <w:rFonts w:cs="Arial"/>
        </w:rPr>
        <w:t xml:space="preserve">hird </w:t>
      </w:r>
      <w:r w:rsidR="00FC1134">
        <w:rPr>
          <w:rFonts w:cs="Arial"/>
        </w:rPr>
        <w:t>P</w:t>
      </w:r>
      <w:r w:rsidRPr="00471133">
        <w:rPr>
          <w:rFonts w:cs="Arial"/>
        </w:rPr>
        <w:t xml:space="preserve">arties, in this way.  This outcome would be justified if the </w:t>
      </w:r>
      <w:r w:rsidR="00D4027C">
        <w:rPr>
          <w:rFonts w:cs="Arial"/>
        </w:rPr>
        <w:t>UCT</w:t>
      </w:r>
      <w:r w:rsidRPr="00471133">
        <w:rPr>
          <w:rFonts w:cs="Arial"/>
        </w:rPr>
        <w:t xml:space="preserve"> provisions were </w:t>
      </w:r>
      <w:r w:rsidRPr="005B36E9">
        <w:rPr>
          <w:rFonts w:cs="Arial"/>
        </w:rPr>
        <w:t>only</w:t>
      </w:r>
      <w:r w:rsidRPr="00471133">
        <w:rPr>
          <w:rFonts w:cs="Arial"/>
        </w:rPr>
        <w:t xml:space="preserve"> intended to address wide-spread and systematic unfair practices, but if they are intended to </w:t>
      </w:r>
      <w:r>
        <w:rPr>
          <w:rFonts w:cs="Arial"/>
        </w:rPr>
        <w:t xml:space="preserve">protect individual consumers </w:t>
      </w:r>
      <w:r w:rsidR="00FF15FF">
        <w:rPr>
          <w:rFonts w:cs="Arial"/>
        </w:rPr>
        <w:t xml:space="preserve">and small businesses </w:t>
      </w:r>
      <w:r>
        <w:rPr>
          <w:rFonts w:cs="Arial"/>
        </w:rPr>
        <w:t>from</w:t>
      </w:r>
      <w:r w:rsidRPr="00471133">
        <w:rPr>
          <w:rFonts w:cs="Arial"/>
        </w:rPr>
        <w:t xml:space="preserve"> unfair practices, it is an undesirable outcome.</w:t>
      </w:r>
      <w:bookmarkEnd w:id="4"/>
    </w:p>
    <w:p w:rsidR="00FC1134" w:rsidRPr="00FC1134" w:rsidRDefault="00FC1134" w:rsidP="00B76278">
      <w:pPr>
        <w:keepNext/>
        <w:spacing w:line="360" w:lineRule="auto"/>
        <w:rPr>
          <w:u w:val="single"/>
        </w:rPr>
      </w:pPr>
      <w:r>
        <w:rPr>
          <w:u w:val="single"/>
        </w:rPr>
        <w:t>Solutions to the problem</w:t>
      </w:r>
    </w:p>
    <w:p w:rsidR="00FC1134" w:rsidRDefault="00FC1134" w:rsidP="00B76278">
      <w:pPr>
        <w:pStyle w:val="CUNumber1"/>
        <w:spacing w:line="360" w:lineRule="auto"/>
        <w:rPr>
          <w:rFonts w:cs="Arial"/>
        </w:rPr>
      </w:pPr>
      <w:r>
        <w:rPr>
          <w:rFonts w:cs="Arial"/>
        </w:rPr>
        <w:t>There are t</w:t>
      </w:r>
      <w:r w:rsidR="008305CE">
        <w:rPr>
          <w:rFonts w:cs="Arial"/>
        </w:rPr>
        <w:t>hree</w:t>
      </w:r>
      <w:r>
        <w:rPr>
          <w:rFonts w:cs="Arial"/>
        </w:rPr>
        <w:t xml:space="preserve"> potential solutions to </w:t>
      </w:r>
      <w:r w:rsidR="00FF15FF">
        <w:rPr>
          <w:rFonts w:cs="Arial"/>
        </w:rPr>
        <w:t>the problems created by the requirement of a</w:t>
      </w:r>
      <w:r>
        <w:rPr>
          <w:rFonts w:cs="Arial"/>
        </w:rPr>
        <w:t xml:space="preserve"> standard form contract.  </w:t>
      </w:r>
    </w:p>
    <w:p w:rsidR="0034130E" w:rsidRDefault="0034130E" w:rsidP="00B76278">
      <w:pPr>
        <w:spacing w:line="360" w:lineRule="auto"/>
        <w:rPr>
          <w:i/>
        </w:rPr>
      </w:pPr>
      <w:r>
        <w:rPr>
          <w:i/>
        </w:rPr>
        <w:t xml:space="preserve">First solution:  </w:t>
      </w:r>
      <w:r w:rsidR="008305CE">
        <w:rPr>
          <w:i/>
        </w:rPr>
        <w:t xml:space="preserve">Keep the requirement of a standard form contract but clarify the scope of </w:t>
      </w:r>
      <w:r w:rsidR="00D4027C">
        <w:rPr>
          <w:i/>
        </w:rPr>
        <w:t xml:space="preserve">the </w:t>
      </w:r>
      <w:r w:rsidR="008305CE">
        <w:rPr>
          <w:i/>
        </w:rPr>
        <w:t>inquiry</w:t>
      </w:r>
    </w:p>
    <w:p w:rsidR="008305CE" w:rsidRDefault="008305CE" w:rsidP="00B76278">
      <w:pPr>
        <w:pStyle w:val="CUNumber1"/>
        <w:spacing w:line="360" w:lineRule="auto"/>
      </w:pPr>
      <w:r>
        <w:t xml:space="preserve">The first solution would </w:t>
      </w:r>
      <w:r w:rsidR="005B36E9">
        <w:t>keep</w:t>
      </w:r>
      <w:r>
        <w:t xml:space="preserve"> the requirement that a contract be a standard form contract but exclude the respondent's dealings with Third Parties from the scope of inquiry.  In other words, a court would only consider the dealings between the applicant and the respondent.  This would </w:t>
      </w:r>
      <w:r w:rsidR="008A50AA">
        <w:t>avoid</w:t>
      </w:r>
      <w:r>
        <w:t xml:space="preserve"> the problems referred to in paragraphs </w:t>
      </w:r>
      <w:r>
        <w:fldChar w:fldCharType="begin"/>
      </w:r>
      <w:r>
        <w:instrText xml:space="preserve"> REF _Ref466297873 \r \h </w:instrText>
      </w:r>
      <w:r>
        <w:fldChar w:fldCharType="separate"/>
      </w:r>
      <w:r w:rsidR="00086F9C">
        <w:t>13</w:t>
      </w:r>
      <w:r>
        <w:fldChar w:fldCharType="end"/>
      </w:r>
      <w:r>
        <w:t xml:space="preserve"> to </w:t>
      </w:r>
      <w:r>
        <w:fldChar w:fldCharType="begin"/>
      </w:r>
      <w:r>
        <w:instrText xml:space="preserve"> REF _Ref466297876 \r \h </w:instrText>
      </w:r>
      <w:r>
        <w:fldChar w:fldCharType="separate"/>
      </w:r>
      <w:r w:rsidR="00086F9C">
        <w:t>15</w:t>
      </w:r>
      <w:r>
        <w:fldChar w:fldCharType="end"/>
      </w:r>
      <w:r>
        <w:t xml:space="preserve"> above.  This could be achieved by </w:t>
      </w:r>
      <w:r w:rsidR="00FF5480">
        <w:t>adding a new sub-section (3) into s 27</w:t>
      </w:r>
      <w:r>
        <w:t xml:space="preserve"> as follows.</w:t>
      </w:r>
    </w:p>
    <w:p w:rsidR="008305CE" w:rsidRPr="008305CE" w:rsidRDefault="008305CE" w:rsidP="00B76278">
      <w:pPr>
        <w:pStyle w:val="IndentParaLevel2"/>
        <w:numPr>
          <w:ilvl w:val="0"/>
          <w:numId w:val="0"/>
        </w:numPr>
        <w:spacing w:after="120" w:line="360" w:lineRule="auto"/>
        <w:ind w:left="2127" w:hanging="426"/>
        <w:rPr>
          <w:i/>
          <w:lang w:eastAsia="en-AU"/>
        </w:rPr>
      </w:pPr>
      <w:r w:rsidRPr="008305CE">
        <w:rPr>
          <w:i/>
          <w:lang w:eastAsia="en-AU"/>
        </w:rPr>
        <w:t>(</w:t>
      </w:r>
      <w:r w:rsidR="00FF5480">
        <w:rPr>
          <w:i/>
          <w:lang w:eastAsia="en-AU"/>
        </w:rPr>
        <w:t>3</w:t>
      </w:r>
      <w:r w:rsidRPr="008305CE">
        <w:rPr>
          <w:i/>
          <w:lang w:eastAsia="en-AU"/>
        </w:rPr>
        <w:t xml:space="preserve">) </w:t>
      </w:r>
      <w:r>
        <w:rPr>
          <w:i/>
          <w:lang w:eastAsia="en-AU"/>
        </w:rPr>
        <w:tab/>
      </w:r>
      <w:r w:rsidRPr="008305CE">
        <w:rPr>
          <w:i/>
          <w:lang w:eastAsia="en-AU"/>
        </w:rPr>
        <w:t xml:space="preserve">In determining whether a contract is a standard form contract, a court </w:t>
      </w:r>
      <w:r w:rsidR="00FF5480">
        <w:rPr>
          <w:i/>
          <w:lang w:eastAsia="en-AU"/>
        </w:rPr>
        <w:t xml:space="preserve">may only consider the dealings between </w:t>
      </w:r>
      <w:r w:rsidR="00D4027C">
        <w:rPr>
          <w:i/>
          <w:lang w:eastAsia="en-AU"/>
        </w:rPr>
        <w:t xml:space="preserve">the </w:t>
      </w:r>
      <w:r w:rsidR="00FF5480">
        <w:rPr>
          <w:i/>
          <w:lang w:eastAsia="en-AU"/>
        </w:rPr>
        <w:t>parties to the proceeding.</w:t>
      </w:r>
    </w:p>
    <w:p w:rsidR="008305CE" w:rsidRDefault="00FF5480" w:rsidP="00B76278">
      <w:pPr>
        <w:pStyle w:val="CUNumber1"/>
        <w:spacing w:line="360" w:lineRule="auto"/>
      </w:pPr>
      <w:r>
        <w:lastRenderedPageBreak/>
        <w:t xml:space="preserve">This solution does not address the problem referred to in paragraph </w:t>
      </w:r>
      <w:r>
        <w:fldChar w:fldCharType="begin"/>
      </w:r>
      <w:r>
        <w:instrText xml:space="preserve"> REF _Ref466298445 \r \h </w:instrText>
      </w:r>
      <w:r>
        <w:fldChar w:fldCharType="separate"/>
      </w:r>
      <w:r w:rsidR="00086F9C">
        <w:t>6</w:t>
      </w:r>
      <w:r>
        <w:fldChar w:fldCharType="end"/>
      </w:r>
      <w:r>
        <w:t xml:space="preserve"> above, being what level of negotiation will convert a contract from a standard form contract to a negotiated contract.</w:t>
      </w:r>
    </w:p>
    <w:p w:rsidR="00FC1134" w:rsidRPr="00FC1134" w:rsidRDefault="0034130E" w:rsidP="00B76278">
      <w:pPr>
        <w:spacing w:line="360" w:lineRule="auto"/>
        <w:rPr>
          <w:i/>
        </w:rPr>
      </w:pPr>
      <w:r>
        <w:rPr>
          <w:i/>
        </w:rPr>
        <w:t>Second</w:t>
      </w:r>
      <w:r w:rsidR="00FC1134">
        <w:rPr>
          <w:i/>
        </w:rPr>
        <w:t xml:space="preserve"> solution:  Limit the </w:t>
      </w:r>
      <w:r w:rsidR="00D4027C">
        <w:rPr>
          <w:i/>
        </w:rPr>
        <w:t>UCT</w:t>
      </w:r>
      <w:r w:rsidR="00FC1134">
        <w:rPr>
          <w:i/>
        </w:rPr>
        <w:t xml:space="preserve"> provisions to terms that have not been individually negotiated</w:t>
      </w:r>
    </w:p>
    <w:p w:rsidR="00246357" w:rsidRDefault="00246357" w:rsidP="00B76278">
      <w:pPr>
        <w:pStyle w:val="CUNumber1"/>
        <w:spacing w:line="360" w:lineRule="auto"/>
        <w:rPr>
          <w:rFonts w:cs="Arial"/>
        </w:rPr>
      </w:pPr>
      <w:r>
        <w:rPr>
          <w:rFonts w:cs="Arial"/>
        </w:rPr>
        <w:t>The second solution would be to:</w:t>
      </w:r>
    </w:p>
    <w:p w:rsidR="00246357" w:rsidRDefault="00246357" w:rsidP="00B76278">
      <w:pPr>
        <w:pStyle w:val="CUNumber3"/>
        <w:spacing w:line="360" w:lineRule="auto"/>
      </w:pPr>
      <w:r>
        <w:t xml:space="preserve">remove </w:t>
      </w:r>
      <w:r w:rsidR="008305CE">
        <w:t>the concept of a standard form contract by deleting the definition and s 27</w:t>
      </w:r>
      <w:r w:rsidR="00D4027C">
        <w:t xml:space="preserve"> from the ACL</w:t>
      </w:r>
      <w:r>
        <w:t>;</w:t>
      </w:r>
      <w:r w:rsidR="00FF5480">
        <w:t xml:space="preserve"> </w:t>
      </w:r>
      <w:r>
        <w:t>and</w:t>
      </w:r>
    </w:p>
    <w:p w:rsidR="00246357" w:rsidRDefault="00FF5480" w:rsidP="00B76278">
      <w:pPr>
        <w:pStyle w:val="CUNumber3"/>
        <w:spacing w:line="360" w:lineRule="auto"/>
      </w:pPr>
      <w:r>
        <w:t xml:space="preserve">limiting the </w:t>
      </w:r>
      <w:r w:rsidR="00D4027C">
        <w:t>UCT</w:t>
      </w:r>
      <w:r>
        <w:t xml:space="preserve"> provisions to terms </w:t>
      </w:r>
      <w:r w:rsidRPr="00471133">
        <w:t>that have not been individually negotiated between the applicant and the respondent</w:t>
      </w:r>
      <w:r w:rsidR="008305CE">
        <w:t xml:space="preserve">.  </w:t>
      </w:r>
    </w:p>
    <w:p w:rsidR="00FF5480" w:rsidRDefault="00335041" w:rsidP="00B76278">
      <w:pPr>
        <w:pStyle w:val="CUNumber1"/>
        <w:spacing w:line="360" w:lineRule="auto"/>
      </w:pPr>
      <w:r>
        <w:t>The onus would be on the applicant to show that the impugned term was not individually negotiated.  This is unlikely to be a heavy onus</w:t>
      </w:r>
      <w:r w:rsidR="00E23AE7">
        <w:t xml:space="preserve"> because the applicant w</w:t>
      </w:r>
      <w:r w:rsidR="005B36E9">
        <w:t>ill</w:t>
      </w:r>
      <w:r w:rsidR="00E23AE7">
        <w:t xml:space="preserve"> have first-hand knowledge of whether they negotiated the term</w:t>
      </w:r>
      <w:r>
        <w:t>.</w:t>
      </w:r>
    </w:p>
    <w:p w:rsidR="008305CE" w:rsidRDefault="00FF5480" w:rsidP="00B76278">
      <w:pPr>
        <w:pStyle w:val="CUNumber1"/>
        <w:spacing w:line="360" w:lineRule="auto"/>
        <w:rPr>
          <w:rFonts w:cs="Arial"/>
        </w:rPr>
      </w:pPr>
      <w:r>
        <w:rPr>
          <w:rFonts w:cs="Arial"/>
        </w:rPr>
        <w:t xml:space="preserve">Removing the requirement of a standard form contract is not without precedent.  </w:t>
      </w:r>
      <w:r w:rsidR="008305CE" w:rsidRPr="00471133">
        <w:rPr>
          <w:rFonts w:cs="Arial"/>
        </w:rPr>
        <w:t xml:space="preserve">The unfair contract </w:t>
      </w:r>
      <w:r w:rsidR="005B36E9">
        <w:rPr>
          <w:rFonts w:cs="Arial"/>
        </w:rPr>
        <w:t xml:space="preserve">term </w:t>
      </w:r>
      <w:r w:rsidR="008305CE" w:rsidRPr="00471133">
        <w:rPr>
          <w:rFonts w:cs="Arial"/>
        </w:rPr>
        <w:t xml:space="preserve">provisions in the </w:t>
      </w:r>
      <w:r w:rsidR="008305CE" w:rsidRPr="00471133">
        <w:rPr>
          <w:rFonts w:cs="Arial"/>
          <w:i/>
        </w:rPr>
        <w:t>Consumer Rights Act 2015</w:t>
      </w:r>
      <w:r w:rsidR="008305CE" w:rsidRPr="00471133">
        <w:rPr>
          <w:rFonts w:cs="Arial"/>
        </w:rPr>
        <w:t xml:space="preserve"> (UK) do not require an </w:t>
      </w:r>
      <w:r w:rsidR="00E23AE7">
        <w:rPr>
          <w:rFonts w:cs="Arial"/>
        </w:rPr>
        <w:t>unfair</w:t>
      </w:r>
      <w:r w:rsidR="008305CE" w:rsidRPr="00471133">
        <w:rPr>
          <w:rFonts w:cs="Arial"/>
        </w:rPr>
        <w:t xml:space="preserve"> term to be in a standard form contract nor did the provisions that existed in the now-repealed </w:t>
      </w:r>
      <w:r w:rsidR="008305CE" w:rsidRPr="00471133">
        <w:rPr>
          <w:rFonts w:cs="Arial"/>
          <w:i/>
        </w:rPr>
        <w:t>Fair Trading Act 1999</w:t>
      </w:r>
      <w:r w:rsidR="008305CE" w:rsidRPr="00471133">
        <w:rPr>
          <w:rFonts w:cs="Arial"/>
        </w:rPr>
        <w:t xml:space="preserve"> (Vic) from 9 October 2003 to 1 July 2010.</w:t>
      </w:r>
      <w:r>
        <w:rPr>
          <w:rFonts w:cs="Arial"/>
        </w:rPr>
        <w:t xml:space="preserve">  </w:t>
      </w:r>
    </w:p>
    <w:p w:rsidR="00B44EA2" w:rsidRDefault="00D4027C" w:rsidP="00B76278">
      <w:pPr>
        <w:pStyle w:val="CUNumber1"/>
        <w:spacing w:line="360" w:lineRule="auto"/>
        <w:rPr>
          <w:rFonts w:cs="Arial"/>
        </w:rPr>
      </w:pPr>
      <w:r w:rsidRPr="00D4027C">
        <w:rPr>
          <w:rFonts w:cs="Arial"/>
        </w:rPr>
        <w:t xml:space="preserve">The </w:t>
      </w:r>
      <w:r>
        <w:rPr>
          <w:rFonts w:cs="Arial"/>
        </w:rPr>
        <w:t xml:space="preserve">now-repealed </w:t>
      </w:r>
      <w:r w:rsidR="00B44EA2" w:rsidRPr="00471133">
        <w:rPr>
          <w:rFonts w:cs="Arial"/>
          <w:i/>
        </w:rPr>
        <w:t>Unfair Terms in Consumer Contracts Regulations 1999</w:t>
      </w:r>
      <w:r w:rsidR="00B44EA2" w:rsidRPr="00471133">
        <w:rPr>
          <w:rFonts w:cs="Arial"/>
        </w:rPr>
        <w:t xml:space="preserve"> (UK)</w:t>
      </w:r>
      <w:r>
        <w:rPr>
          <w:rFonts w:cs="Arial"/>
        </w:rPr>
        <w:t xml:space="preserve"> </w:t>
      </w:r>
      <w:r w:rsidR="00E23AE7">
        <w:rPr>
          <w:rFonts w:cs="Arial"/>
        </w:rPr>
        <w:t xml:space="preserve">did not </w:t>
      </w:r>
      <w:r>
        <w:rPr>
          <w:rFonts w:cs="Arial"/>
        </w:rPr>
        <w:t>require</w:t>
      </w:r>
      <w:r w:rsidR="00E23AE7">
        <w:rPr>
          <w:rFonts w:cs="Arial"/>
        </w:rPr>
        <w:t xml:space="preserve"> an unfair term to be in a standard form contract.  Instead, those Regulations only applied to terms that had not been negotiated</w:t>
      </w:r>
      <w:r w:rsidR="00811062">
        <w:rPr>
          <w:rFonts w:cs="Arial"/>
        </w:rPr>
        <w:t>.</w:t>
      </w:r>
      <w:r w:rsidR="00B44EA2" w:rsidRPr="00471133">
        <w:rPr>
          <w:rStyle w:val="FootnoteReference"/>
          <w:rFonts w:cs="Arial"/>
        </w:rPr>
        <w:footnoteReference w:id="6"/>
      </w:r>
      <w:r w:rsidR="00811062">
        <w:rPr>
          <w:rFonts w:cs="Arial"/>
        </w:rPr>
        <w:t xml:space="preserve">  </w:t>
      </w:r>
      <w:r w:rsidR="00FF5480">
        <w:rPr>
          <w:rFonts w:cs="Arial"/>
        </w:rPr>
        <w:t xml:space="preserve"> </w:t>
      </w:r>
    </w:p>
    <w:p w:rsidR="00530AFB" w:rsidRPr="00530AFB" w:rsidRDefault="005413D7" w:rsidP="00B76278">
      <w:pPr>
        <w:pStyle w:val="CUNumber1"/>
        <w:spacing w:line="360" w:lineRule="auto"/>
        <w:rPr>
          <w:rFonts w:cs="Arial"/>
        </w:rPr>
      </w:pPr>
      <w:bookmarkStart w:id="5" w:name="_Ref466305280"/>
      <w:r>
        <w:rPr>
          <w:rFonts w:cs="Arial"/>
        </w:rPr>
        <w:t>Like the first solution, th</w:t>
      </w:r>
      <w:r w:rsidR="005B36E9">
        <w:rPr>
          <w:rFonts w:cs="Arial"/>
        </w:rPr>
        <w:t>is</w:t>
      </w:r>
      <w:r>
        <w:rPr>
          <w:rFonts w:cs="Arial"/>
        </w:rPr>
        <w:t xml:space="preserve"> second solution</w:t>
      </w:r>
      <w:r w:rsidR="008A50AA">
        <w:rPr>
          <w:rFonts w:cs="Arial"/>
        </w:rPr>
        <w:t xml:space="preserve"> would limit the court's </w:t>
      </w:r>
      <w:r w:rsidR="005B36E9">
        <w:rPr>
          <w:rFonts w:cs="Arial"/>
        </w:rPr>
        <w:t>inquiry</w:t>
      </w:r>
      <w:r w:rsidR="008A50AA">
        <w:rPr>
          <w:rFonts w:cs="Arial"/>
        </w:rPr>
        <w:t xml:space="preserve"> to the dealings between the applicant and the respondent and hence avoid the problems </w:t>
      </w:r>
      <w:r w:rsidR="008A50AA">
        <w:t xml:space="preserve">referred to in paragraphs </w:t>
      </w:r>
      <w:r w:rsidR="008A50AA">
        <w:fldChar w:fldCharType="begin"/>
      </w:r>
      <w:r w:rsidR="008A50AA">
        <w:instrText xml:space="preserve"> REF _Ref466297873 \r \h </w:instrText>
      </w:r>
      <w:r w:rsidR="008A50AA">
        <w:fldChar w:fldCharType="separate"/>
      </w:r>
      <w:r w:rsidR="00086F9C">
        <w:t>13</w:t>
      </w:r>
      <w:r w:rsidR="008A50AA">
        <w:fldChar w:fldCharType="end"/>
      </w:r>
      <w:r w:rsidR="008A50AA">
        <w:t xml:space="preserve"> to </w:t>
      </w:r>
      <w:r w:rsidR="008A50AA">
        <w:fldChar w:fldCharType="begin"/>
      </w:r>
      <w:r w:rsidR="008A50AA">
        <w:instrText xml:space="preserve"> REF _Ref466297876 \r \h </w:instrText>
      </w:r>
      <w:r w:rsidR="008A50AA">
        <w:fldChar w:fldCharType="separate"/>
      </w:r>
      <w:r w:rsidR="00086F9C">
        <w:t>15</w:t>
      </w:r>
      <w:r w:rsidR="008A50AA">
        <w:fldChar w:fldCharType="end"/>
      </w:r>
      <w:r w:rsidR="008A50AA">
        <w:t xml:space="preserve"> above.  It would </w:t>
      </w:r>
      <w:r w:rsidR="00ED2305">
        <w:t xml:space="preserve">also </w:t>
      </w:r>
      <w:r w:rsidR="008A50AA">
        <w:t xml:space="preserve">avoid having to consider what </w:t>
      </w:r>
      <w:r w:rsidR="00567808">
        <w:t>number of terms must be negotiated in a contract and the nature of those terms in order to</w:t>
      </w:r>
      <w:r w:rsidR="008A50AA">
        <w:t xml:space="preserve"> convert </w:t>
      </w:r>
      <w:r w:rsidR="005B36E9">
        <w:t>the contract</w:t>
      </w:r>
      <w:r w:rsidR="008A50AA">
        <w:t xml:space="preserve"> from a standard form contract to a negotiated contract</w:t>
      </w:r>
      <w:r w:rsidR="00567808">
        <w:t>.  This was a problem w</w:t>
      </w:r>
      <w:r w:rsidR="008A50AA">
        <w:t>ith the first solution</w:t>
      </w:r>
      <w:r w:rsidR="00567808">
        <w:t xml:space="preserve">.  This problem would be avoided because the court and parties would only need to consider the impugned term.  </w:t>
      </w:r>
    </w:p>
    <w:p w:rsidR="00E23AE7" w:rsidRPr="00E23AE7" w:rsidRDefault="005B36E9" w:rsidP="00B76278">
      <w:pPr>
        <w:pStyle w:val="CUNumber1"/>
        <w:spacing w:line="360" w:lineRule="auto"/>
        <w:rPr>
          <w:rFonts w:cs="Arial"/>
        </w:rPr>
      </w:pPr>
      <w:bookmarkStart w:id="6" w:name="_Ref467242098"/>
      <w:r>
        <w:t>However, t</w:t>
      </w:r>
      <w:r w:rsidR="00567808">
        <w:t xml:space="preserve">here </w:t>
      </w:r>
      <w:r w:rsidR="00E23AE7">
        <w:t>are two problems with th</w:t>
      </w:r>
      <w:r>
        <w:t>is</w:t>
      </w:r>
      <w:r w:rsidR="00E23AE7">
        <w:t xml:space="preserve"> second solution.</w:t>
      </w:r>
      <w:bookmarkEnd w:id="6"/>
    </w:p>
    <w:p w:rsidR="008A50AA" w:rsidRDefault="00E23AE7" w:rsidP="00E23AE7">
      <w:pPr>
        <w:pStyle w:val="CUNumber3"/>
        <w:spacing w:line="360" w:lineRule="auto"/>
        <w:rPr>
          <w:rFonts w:cs="Arial"/>
        </w:rPr>
      </w:pPr>
      <w:r>
        <w:t xml:space="preserve">First, there would be </w:t>
      </w:r>
      <w:r w:rsidR="00567808">
        <w:t xml:space="preserve">uncertainty about </w:t>
      </w:r>
      <w:r w:rsidR="00530AFB">
        <w:t>what</w:t>
      </w:r>
      <w:r w:rsidR="00567808">
        <w:t xml:space="preserve"> level of dialogue </w:t>
      </w:r>
      <w:r>
        <w:t xml:space="preserve">between the parties </w:t>
      </w:r>
      <w:r w:rsidR="00567808">
        <w:t>and amendments to a term would be necessary to amount to "negotiation".</w:t>
      </w:r>
      <w:bookmarkEnd w:id="5"/>
    </w:p>
    <w:p w:rsidR="00BA15AE" w:rsidRDefault="00E23AE7" w:rsidP="00E23AE7">
      <w:pPr>
        <w:pStyle w:val="CUNumber3"/>
        <w:spacing w:line="360" w:lineRule="auto"/>
      </w:pPr>
      <w:bookmarkStart w:id="7" w:name="_Ref467234956"/>
      <w:r>
        <w:t>Second,</w:t>
      </w:r>
      <w:r w:rsidR="00B44EA2">
        <w:t xml:space="preserve"> an applicant may challenge a term which </w:t>
      </w:r>
      <w:r>
        <w:t>was not forced on them</w:t>
      </w:r>
      <w:r w:rsidR="005B36E9">
        <w:t xml:space="preserve"> and which</w:t>
      </w:r>
      <w:r>
        <w:t xml:space="preserve"> they were well aware of</w:t>
      </w:r>
      <w:r w:rsidR="005B36E9">
        <w:t>,</w:t>
      </w:r>
      <w:r w:rsidR="00B44EA2">
        <w:t xml:space="preserve"> but </w:t>
      </w:r>
      <w:r>
        <w:t xml:space="preserve">which they </w:t>
      </w:r>
      <w:r w:rsidR="00B44EA2">
        <w:t>simply chose not to negotiate.</w:t>
      </w:r>
      <w:bookmarkEnd w:id="7"/>
      <w:r w:rsidR="00B44EA2">
        <w:t xml:space="preserve">  </w:t>
      </w:r>
      <w:r>
        <w:t>A party could strategically choose not to negotiate terms, which they know that the other party will be unlikely to negotiate, and then challenge them for being unfair.</w:t>
      </w:r>
    </w:p>
    <w:p w:rsidR="008A50AA" w:rsidRDefault="008A50AA" w:rsidP="00D4506F">
      <w:pPr>
        <w:keepNext/>
        <w:spacing w:line="360" w:lineRule="auto"/>
        <w:rPr>
          <w:i/>
        </w:rPr>
      </w:pPr>
      <w:r>
        <w:rPr>
          <w:i/>
        </w:rPr>
        <w:lastRenderedPageBreak/>
        <w:t>Third</w:t>
      </w:r>
      <w:r w:rsidR="00096A3A">
        <w:rPr>
          <w:i/>
        </w:rPr>
        <w:t xml:space="preserve"> solution:  Alter the test for </w:t>
      </w:r>
      <w:r>
        <w:rPr>
          <w:i/>
        </w:rPr>
        <w:t>unfair so that a term must lack transparency to be unfair</w:t>
      </w:r>
    </w:p>
    <w:p w:rsidR="00246357" w:rsidRDefault="00567808" w:rsidP="00B76278">
      <w:pPr>
        <w:pStyle w:val="CUNumber1"/>
        <w:spacing w:line="360" w:lineRule="auto"/>
      </w:pPr>
      <w:r>
        <w:t>The third solution would be to</w:t>
      </w:r>
      <w:r w:rsidR="00246357">
        <w:t>:</w:t>
      </w:r>
      <w:r>
        <w:t xml:space="preserve"> </w:t>
      </w:r>
    </w:p>
    <w:p w:rsidR="00246357" w:rsidRDefault="00246357" w:rsidP="00B76278">
      <w:pPr>
        <w:pStyle w:val="CUNumber3"/>
        <w:spacing w:line="360" w:lineRule="auto"/>
      </w:pPr>
      <w:r>
        <w:t>remove the concept of a standard form contract by deleting the definition and s 27</w:t>
      </w:r>
      <w:r w:rsidR="00114941">
        <w:t xml:space="preserve"> from the ACL</w:t>
      </w:r>
      <w:r>
        <w:t>; and</w:t>
      </w:r>
    </w:p>
    <w:p w:rsidR="00246357" w:rsidRDefault="00567808" w:rsidP="00B76278">
      <w:pPr>
        <w:pStyle w:val="CUNumber3"/>
        <w:spacing w:line="360" w:lineRule="auto"/>
      </w:pPr>
      <w:r>
        <w:t>alter the test for unfair so that a ter</w:t>
      </w:r>
      <w:r w:rsidR="005413D7">
        <w:t>m is only unfair if it has not been brought to the attention of the applicant before they entered into the contract</w:t>
      </w:r>
      <w:r>
        <w:t>.</w:t>
      </w:r>
      <w:r w:rsidR="000B71F9">
        <w:t xml:space="preserve">  </w:t>
      </w:r>
    </w:p>
    <w:p w:rsidR="00E23AE7" w:rsidRDefault="005413D7" w:rsidP="005413D7">
      <w:pPr>
        <w:pStyle w:val="CUNumber1"/>
        <w:spacing w:line="360" w:lineRule="auto"/>
      </w:pPr>
      <w:r>
        <w:t xml:space="preserve">It is submitted that this approach is preferably to the second solution because it removes the uncertainty surrounding what constitutes "negotiation" and removes the problem of an applicant challenging a term which they </w:t>
      </w:r>
      <w:r w:rsidR="00E23AE7">
        <w:t xml:space="preserve">deliberately </w:t>
      </w:r>
      <w:r>
        <w:t>chose not to negotiate (see paragraph</w:t>
      </w:r>
      <w:r w:rsidR="00E23AE7">
        <w:t xml:space="preserve"> </w:t>
      </w:r>
      <w:r w:rsidR="00530AFB">
        <w:fldChar w:fldCharType="begin"/>
      </w:r>
      <w:r w:rsidR="00530AFB">
        <w:instrText xml:space="preserve"> REF _Ref467242098 \r \h </w:instrText>
      </w:r>
      <w:r w:rsidR="00530AFB">
        <w:fldChar w:fldCharType="separate"/>
      </w:r>
      <w:r w:rsidR="00086F9C">
        <w:t>24</w:t>
      </w:r>
      <w:r w:rsidR="00530AFB">
        <w:fldChar w:fldCharType="end"/>
      </w:r>
      <w:r w:rsidR="00E23AE7">
        <w:t xml:space="preserve"> </w:t>
      </w:r>
      <w:r>
        <w:t xml:space="preserve">above).  </w:t>
      </w:r>
    </w:p>
    <w:p w:rsidR="00074624" w:rsidRDefault="00E23AE7" w:rsidP="005413D7">
      <w:pPr>
        <w:pStyle w:val="CUNumber1"/>
        <w:spacing w:line="360" w:lineRule="auto"/>
      </w:pPr>
      <w:r>
        <w:t xml:space="preserve">This third solution </w:t>
      </w:r>
      <w:r w:rsidR="00530AFB">
        <w:t>proposes</w:t>
      </w:r>
      <w:r>
        <w:t xml:space="preserve"> a different </w:t>
      </w:r>
      <w:r w:rsidR="00530AFB">
        <w:t>concept of what is</w:t>
      </w:r>
      <w:r w:rsidR="00096A3A">
        <w:t xml:space="preserve"> </w:t>
      </w:r>
      <w:r w:rsidR="00074624">
        <w:t>unfair.  It treats a term a</w:t>
      </w:r>
      <w:r w:rsidR="00530AFB">
        <w:t>s being "fair"</w:t>
      </w:r>
      <w:r>
        <w:t xml:space="preserve"> if a party was made aware of it and understood it yet still proceeded to enter into the contract.  </w:t>
      </w:r>
      <w:r w:rsidR="00074624">
        <w:t xml:space="preserve">It is submitted that this </w:t>
      </w:r>
      <w:r w:rsidR="00530AFB">
        <w:t>concept of</w:t>
      </w:r>
      <w:r w:rsidR="00074624">
        <w:t xml:space="preserve"> </w:t>
      </w:r>
      <w:r w:rsidR="005B36E9">
        <w:t>“</w:t>
      </w:r>
      <w:r w:rsidR="00074624">
        <w:t>fair</w:t>
      </w:r>
      <w:r w:rsidR="005B36E9">
        <w:t>”</w:t>
      </w:r>
      <w:r w:rsidR="00074624">
        <w:t xml:space="preserve"> and </w:t>
      </w:r>
      <w:r w:rsidR="005B36E9">
        <w:t>“</w:t>
      </w:r>
      <w:r w:rsidR="00074624">
        <w:t>unfair</w:t>
      </w:r>
      <w:r w:rsidR="005B36E9">
        <w:t>”</w:t>
      </w:r>
      <w:r w:rsidR="00074624">
        <w:t xml:space="preserve"> is appropriate since it gives primacy to the free and informed decisions of contracting parties.</w:t>
      </w:r>
    </w:p>
    <w:p w:rsidR="008A50AA" w:rsidRDefault="005B36E9" w:rsidP="00074624">
      <w:pPr>
        <w:pStyle w:val="CUNumber1"/>
        <w:spacing w:line="360" w:lineRule="auto"/>
      </w:pPr>
      <w:r>
        <w:t>This</w:t>
      </w:r>
      <w:r w:rsidR="00074624">
        <w:t xml:space="preserve"> third solut</w:t>
      </w:r>
      <w:r w:rsidR="00096A3A">
        <w:t xml:space="preserve">ion would require the test for </w:t>
      </w:r>
      <w:r w:rsidR="00074624">
        <w:t>unfair</w:t>
      </w:r>
      <w:r>
        <w:t>ness</w:t>
      </w:r>
      <w:r w:rsidR="00074624">
        <w:t xml:space="preserve"> contained in s 24(1) </w:t>
      </w:r>
      <w:r>
        <w:t xml:space="preserve">of the ACL </w:t>
      </w:r>
      <w:r w:rsidR="00074624">
        <w:t xml:space="preserve">to be modified.  </w:t>
      </w:r>
      <w:r w:rsidR="000B71F9">
        <w:t>It</w:t>
      </w:r>
      <w:r w:rsidR="00074624">
        <w:t xml:space="preserve"> is submitted that it</w:t>
      </w:r>
      <w:r w:rsidR="000B71F9">
        <w:t xml:space="preserve"> </w:t>
      </w:r>
      <w:r w:rsidR="005413D7">
        <w:t>should</w:t>
      </w:r>
      <w:r w:rsidR="000B71F9">
        <w:t xml:space="preserve"> be amended as follows.</w:t>
      </w:r>
    </w:p>
    <w:p w:rsidR="000B71F9" w:rsidRPr="00BD408D" w:rsidRDefault="000B71F9" w:rsidP="00B76278">
      <w:pPr>
        <w:spacing w:after="0" w:line="360" w:lineRule="auto"/>
        <w:ind w:left="1327" w:hanging="193"/>
        <w:jc w:val="both"/>
        <w:rPr>
          <w:rFonts w:asciiTheme="majorHAnsi" w:hAnsiTheme="majorHAnsi" w:cs="Cambria"/>
          <w:i/>
        </w:rPr>
      </w:pPr>
      <w:r w:rsidRPr="00BD408D">
        <w:rPr>
          <w:rFonts w:asciiTheme="majorHAnsi" w:hAnsiTheme="majorHAnsi" w:cs="Cambria"/>
          <w:i/>
        </w:rPr>
        <w:t>(1)    A term of a consumer contract is </w:t>
      </w:r>
      <w:r w:rsidRPr="00BD408D">
        <w:rPr>
          <w:rFonts w:asciiTheme="majorHAnsi" w:hAnsiTheme="majorHAnsi" w:cs="Cambria"/>
          <w:b/>
          <w:bCs/>
          <w:i/>
          <w:iCs/>
        </w:rPr>
        <w:t>unfair </w:t>
      </w:r>
      <w:r w:rsidRPr="00BD408D">
        <w:rPr>
          <w:rFonts w:asciiTheme="majorHAnsi" w:hAnsiTheme="majorHAnsi" w:cs="Cambria"/>
          <w:i/>
        </w:rPr>
        <w:t>if:</w:t>
      </w:r>
    </w:p>
    <w:p w:rsidR="000B71F9" w:rsidRPr="00BD408D" w:rsidRDefault="000B71F9" w:rsidP="00B76278">
      <w:pPr>
        <w:spacing w:after="0" w:line="360" w:lineRule="auto"/>
        <w:ind w:left="2268" w:hanging="708"/>
        <w:rPr>
          <w:rFonts w:asciiTheme="majorHAnsi" w:hAnsiTheme="majorHAnsi" w:cs="Cambria"/>
          <w:i/>
          <w:lang w:eastAsia="en-AU"/>
        </w:rPr>
      </w:pPr>
      <w:r w:rsidRPr="00BD408D">
        <w:rPr>
          <w:rFonts w:asciiTheme="majorHAnsi" w:hAnsiTheme="majorHAnsi" w:cs="Cambria"/>
          <w:i/>
          <w:lang w:eastAsia="en-AU"/>
        </w:rPr>
        <w:t xml:space="preserve">(a)  </w:t>
      </w:r>
      <w:r w:rsidRPr="00BD408D">
        <w:rPr>
          <w:rFonts w:asciiTheme="majorHAnsi" w:hAnsiTheme="majorHAnsi" w:cs="Cambria"/>
          <w:i/>
          <w:lang w:eastAsia="en-AU"/>
        </w:rPr>
        <w:tab/>
        <w:t>it would cause a significant imbalance in the parties' rights and obligations arising under the contract; and</w:t>
      </w:r>
    </w:p>
    <w:p w:rsidR="000B71F9" w:rsidRPr="00BD408D" w:rsidRDefault="000B71F9" w:rsidP="00B76278">
      <w:pPr>
        <w:spacing w:after="0" w:line="360" w:lineRule="auto"/>
        <w:ind w:left="2268" w:hanging="708"/>
        <w:rPr>
          <w:rFonts w:asciiTheme="majorHAnsi" w:hAnsiTheme="majorHAnsi" w:cs="Cambria"/>
          <w:i/>
          <w:lang w:eastAsia="en-AU"/>
        </w:rPr>
      </w:pPr>
      <w:r w:rsidRPr="00BD408D">
        <w:rPr>
          <w:rFonts w:asciiTheme="majorHAnsi" w:hAnsiTheme="majorHAnsi" w:cs="Cambria"/>
          <w:i/>
          <w:lang w:eastAsia="en-AU"/>
        </w:rPr>
        <w:t xml:space="preserve">(b)  </w:t>
      </w:r>
      <w:r w:rsidRPr="00BD408D">
        <w:rPr>
          <w:rFonts w:asciiTheme="majorHAnsi" w:hAnsiTheme="majorHAnsi" w:cs="Cambria"/>
          <w:i/>
          <w:lang w:eastAsia="en-AU"/>
        </w:rPr>
        <w:tab/>
        <w:t xml:space="preserve">it is not reasonably necessary in order to protect the legitimate interests of the party who would be advantaged by the term; </w:t>
      </w:r>
    </w:p>
    <w:p w:rsidR="000B71F9" w:rsidRPr="00BD408D" w:rsidRDefault="000B71F9" w:rsidP="00B76278">
      <w:pPr>
        <w:spacing w:after="0" w:line="360" w:lineRule="auto"/>
        <w:ind w:left="2268" w:hanging="708"/>
        <w:rPr>
          <w:rFonts w:asciiTheme="majorHAnsi" w:hAnsiTheme="majorHAnsi" w:cs="Cambria"/>
          <w:i/>
          <w:lang w:eastAsia="en-AU"/>
        </w:rPr>
      </w:pPr>
      <w:r w:rsidRPr="00BD408D">
        <w:rPr>
          <w:rFonts w:asciiTheme="majorHAnsi" w:hAnsiTheme="majorHAnsi" w:cs="Cambria"/>
          <w:b/>
          <w:i/>
          <w:u w:val="double"/>
          <w:lang w:eastAsia="en-AU"/>
        </w:rPr>
        <w:t>(c)</w:t>
      </w:r>
      <w:r w:rsidRPr="00BD408D">
        <w:rPr>
          <w:rFonts w:asciiTheme="majorHAnsi" w:hAnsiTheme="majorHAnsi" w:cs="Cambria"/>
          <w:i/>
          <w:lang w:eastAsia="en-AU"/>
        </w:rPr>
        <w:tab/>
      </w:r>
      <w:r w:rsidRPr="00BD408D">
        <w:rPr>
          <w:rFonts w:asciiTheme="majorHAnsi" w:hAnsiTheme="majorHAnsi" w:cs="Cambria"/>
          <w:b/>
          <w:i/>
          <w:u w:val="double"/>
          <w:lang w:eastAsia="en-AU"/>
        </w:rPr>
        <w:t>it is not transparent;</w:t>
      </w:r>
      <w:r w:rsidRPr="00BD408D">
        <w:rPr>
          <w:rFonts w:asciiTheme="majorHAnsi" w:hAnsiTheme="majorHAnsi" w:cs="Cambria"/>
          <w:i/>
          <w:lang w:eastAsia="en-AU"/>
        </w:rPr>
        <w:t xml:space="preserve"> and</w:t>
      </w:r>
    </w:p>
    <w:p w:rsidR="000B71F9" w:rsidRPr="00BD408D" w:rsidRDefault="000B71F9" w:rsidP="00B76278">
      <w:pPr>
        <w:spacing w:line="360" w:lineRule="auto"/>
        <w:ind w:left="2268" w:hanging="709"/>
        <w:rPr>
          <w:rFonts w:asciiTheme="majorHAnsi" w:hAnsiTheme="majorHAnsi" w:cs="Cambria"/>
          <w:i/>
          <w:lang w:eastAsia="en-AU"/>
        </w:rPr>
      </w:pPr>
      <w:r w:rsidRPr="00BD408D">
        <w:rPr>
          <w:rFonts w:asciiTheme="majorHAnsi" w:hAnsiTheme="majorHAnsi" w:cs="Cambria"/>
          <w:i/>
          <w:strike/>
          <w:lang w:eastAsia="en-AU"/>
        </w:rPr>
        <w:t>(c)</w:t>
      </w:r>
      <w:r w:rsidRPr="00BD408D">
        <w:rPr>
          <w:rFonts w:asciiTheme="majorHAnsi" w:hAnsiTheme="majorHAnsi" w:cs="Cambria"/>
          <w:b/>
          <w:i/>
          <w:u w:val="double"/>
          <w:lang w:eastAsia="en-AU"/>
        </w:rPr>
        <w:t>(d)</w:t>
      </w:r>
      <w:r w:rsidRPr="00BD408D">
        <w:rPr>
          <w:rFonts w:asciiTheme="majorHAnsi" w:hAnsiTheme="majorHAnsi" w:cs="Cambria"/>
          <w:i/>
          <w:lang w:eastAsia="en-AU"/>
        </w:rPr>
        <w:t xml:space="preserve">  </w:t>
      </w:r>
      <w:r w:rsidRPr="00BD408D">
        <w:rPr>
          <w:rFonts w:asciiTheme="majorHAnsi" w:hAnsiTheme="majorHAnsi" w:cs="Cambria"/>
          <w:i/>
          <w:lang w:eastAsia="en-AU"/>
        </w:rPr>
        <w:tab/>
        <w:t>it would cause detriment (whether financial or otherwise) to a party if it were to be applied or relied on.</w:t>
      </w:r>
    </w:p>
    <w:p w:rsidR="005413D7" w:rsidRPr="00E66E4B" w:rsidRDefault="005413D7" w:rsidP="005413D7">
      <w:pPr>
        <w:pStyle w:val="CUNumber1"/>
        <w:spacing w:line="360" w:lineRule="auto"/>
        <w:rPr>
          <w:i/>
        </w:rPr>
      </w:pPr>
      <w:bookmarkStart w:id="8" w:name="_Ref466359271"/>
      <w:r>
        <w:t xml:space="preserve">This definition of "transparent" found in s 24(3) </w:t>
      </w:r>
      <w:r w:rsidR="005B36E9">
        <w:t>sh</w:t>
      </w:r>
      <w:r>
        <w:t xml:space="preserve">ould also </w:t>
      </w:r>
      <w:r w:rsidR="00074624">
        <w:t xml:space="preserve">be </w:t>
      </w:r>
      <w:r w:rsidR="005B36E9">
        <w:t>amended</w:t>
      </w:r>
      <w:r>
        <w:t xml:space="preserve"> to ensure that a term </w:t>
      </w:r>
      <w:r>
        <w:rPr>
          <w:rFonts w:cs="Arial"/>
        </w:rPr>
        <w:t>has been clearly presented to an applicant prior to entering into the contract</w:t>
      </w:r>
      <w:r>
        <w:t xml:space="preserve">.  It is submitted that it should be </w:t>
      </w:r>
      <w:r w:rsidR="005B36E9">
        <w:t>amended</w:t>
      </w:r>
      <w:r>
        <w:t xml:space="preserve"> as follows:</w:t>
      </w:r>
      <w:bookmarkEnd w:id="8"/>
    </w:p>
    <w:p w:rsidR="005413D7" w:rsidRPr="00E66E4B" w:rsidRDefault="005413D7" w:rsidP="005413D7">
      <w:pPr>
        <w:pStyle w:val="IndentParaLevel2"/>
        <w:spacing w:line="360" w:lineRule="auto"/>
        <w:rPr>
          <w:i/>
        </w:rPr>
      </w:pPr>
      <w:r>
        <w:rPr>
          <w:i/>
        </w:rPr>
        <w:t>(3)</w:t>
      </w:r>
      <w:r>
        <w:rPr>
          <w:i/>
        </w:rPr>
        <w:tab/>
      </w:r>
      <w:r w:rsidRPr="00E66E4B">
        <w:rPr>
          <w:i/>
        </w:rPr>
        <w:t>A term is </w:t>
      </w:r>
      <w:r w:rsidRPr="00E66E4B">
        <w:rPr>
          <w:b/>
          <w:i/>
        </w:rPr>
        <w:t>transparent</w:t>
      </w:r>
      <w:r w:rsidRPr="00E66E4B">
        <w:rPr>
          <w:i/>
        </w:rPr>
        <w:t> if the term is:</w:t>
      </w:r>
    </w:p>
    <w:p w:rsidR="005413D7" w:rsidRPr="00E66E4B" w:rsidRDefault="005413D7" w:rsidP="005413D7">
      <w:pPr>
        <w:pStyle w:val="IndentParaLevel3"/>
        <w:spacing w:line="360" w:lineRule="auto"/>
        <w:rPr>
          <w:i/>
        </w:rPr>
      </w:pPr>
      <w:r w:rsidRPr="00E66E4B">
        <w:rPr>
          <w:i/>
        </w:rPr>
        <w:t>(a)</w:t>
      </w:r>
      <w:r w:rsidRPr="00E66E4B">
        <w:rPr>
          <w:i/>
        </w:rPr>
        <w:tab/>
        <w:t>expressed in reasonably plain language; and</w:t>
      </w:r>
    </w:p>
    <w:p w:rsidR="005413D7" w:rsidRPr="00E66E4B" w:rsidRDefault="005413D7" w:rsidP="005413D7">
      <w:pPr>
        <w:pStyle w:val="IndentParaLevel3"/>
        <w:spacing w:line="360" w:lineRule="auto"/>
        <w:rPr>
          <w:i/>
        </w:rPr>
      </w:pPr>
      <w:r w:rsidRPr="00E66E4B">
        <w:rPr>
          <w:i/>
        </w:rPr>
        <w:t>(b)</w:t>
      </w:r>
      <w:r w:rsidRPr="00E66E4B">
        <w:rPr>
          <w:i/>
        </w:rPr>
        <w:tab/>
        <w:t>legible; and</w:t>
      </w:r>
    </w:p>
    <w:p w:rsidR="005413D7" w:rsidRPr="00E66E4B" w:rsidRDefault="005413D7" w:rsidP="005413D7">
      <w:pPr>
        <w:pStyle w:val="IndentParaLevel3"/>
        <w:numPr>
          <w:ilvl w:val="0"/>
          <w:numId w:val="0"/>
        </w:numPr>
        <w:spacing w:line="360" w:lineRule="auto"/>
        <w:ind w:left="3828" w:hanging="936"/>
        <w:rPr>
          <w:i/>
        </w:rPr>
      </w:pPr>
      <w:r w:rsidRPr="00E66E4B">
        <w:rPr>
          <w:i/>
        </w:rPr>
        <w:t>(c)</w:t>
      </w:r>
      <w:r w:rsidRPr="00E66E4B">
        <w:rPr>
          <w:i/>
        </w:rPr>
        <w:tab/>
        <w:t>presented clearly</w:t>
      </w:r>
      <w:r>
        <w:rPr>
          <w:i/>
        </w:rPr>
        <w:t xml:space="preserve"> </w:t>
      </w:r>
      <w:r w:rsidRPr="00E66E4B">
        <w:rPr>
          <w:rFonts w:asciiTheme="majorHAnsi" w:hAnsiTheme="majorHAnsi" w:cs="Cambria"/>
          <w:b/>
          <w:i/>
          <w:u w:val="double"/>
          <w:lang w:eastAsia="en-AU"/>
        </w:rPr>
        <w:t>and prominently</w:t>
      </w:r>
      <w:r>
        <w:rPr>
          <w:rFonts w:asciiTheme="majorHAnsi" w:hAnsiTheme="majorHAnsi" w:cs="Cambria"/>
          <w:b/>
          <w:i/>
          <w:u w:val="double"/>
          <w:lang w:eastAsia="en-AU"/>
        </w:rPr>
        <w:t xml:space="preserve"> </w:t>
      </w:r>
      <w:r w:rsidRPr="00004D31">
        <w:rPr>
          <w:rFonts w:asciiTheme="majorHAnsi" w:hAnsiTheme="majorHAnsi" w:cs="Cambria"/>
          <w:b/>
          <w:i/>
          <w:u w:val="double"/>
          <w:lang w:eastAsia="en-AU"/>
        </w:rPr>
        <w:t>prior to entering into the contrac</w:t>
      </w:r>
      <w:r>
        <w:rPr>
          <w:rFonts w:asciiTheme="majorHAnsi" w:hAnsiTheme="majorHAnsi" w:cs="Cambria"/>
          <w:b/>
          <w:i/>
          <w:u w:val="double"/>
          <w:lang w:eastAsia="en-AU"/>
        </w:rPr>
        <w:t>t</w:t>
      </w:r>
      <w:r w:rsidRPr="00E66E4B">
        <w:rPr>
          <w:i/>
        </w:rPr>
        <w:t>; and</w:t>
      </w:r>
    </w:p>
    <w:p w:rsidR="005413D7" w:rsidRPr="00E66E4B" w:rsidRDefault="005413D7" w:rsidP="005413D7">
      <w:pPr>
        <w:pStyle w:val="IndentParaLevel3"/>
        <w:tabs>
          <w:tab w:val="clear" w:pos="2892"/>
          <w:tab w:val="num" w:pos="2835"/>
        </w:tabs>
        <w:spacing w:line="360" w:lineRule="auto"/>
        <w:ind w:left="3828" w:hanging="993"/>
        <w:rPr>
          <w:i/>
        </w:rPr>
      </w:pPr>
      <w:r w:rsidRPr="00E66E4B">
        <w:rPr>
          <w:i/>
        </w:rPr>
        <w:lastRenderedPageBreak/>
        <w:t>(d)</w:t>
      </w:r>
      <w:r w:rsidRPr="00E66E4B">
        <w:rPr>
          <w:i/>
        </w:rPr>
        <w:tab/>
        <w:t>readily available to any party affected by the term</w:t>
      </w:r>
      <w:r>
        <w:rPr>
          <w:i/>
        </w:rPr>
        <w:t xml:space="preserve"> </w:t>
      </w:r>
      <w:r w:rsidRPr="00004D31">
        <w:rPr>
          <w:rFonts w:asciiTheme="majorHAnsi" w:hAnsiTheme="majorHAnsi" w:cs="Cambria"/>
          <w:b/>
          <w:i/>
          <w:u w:val="double"/>
          <w:lang w:eastAsia="en-AU"/>
        </w:rPr>
        <w:t>prior to entering into the contrac</w:t>
      </w:r>
      <w:r>
        <w:rPr>
          <w:rFonts w:asciiTheme="majorHAnsi" w:hAnsiTheme="majorHAnsi" w:cs="Cambria"/>
          <w:b/>
          <w:i/>
          <w:u w:val="double"/>
          <w:lang w:eastAsia="en-AU"/>
        </w:rPr>
        <w:t>t</w:t>
      </w:r>
      <w:r w:rsidRPr="00E66E4B">
        <w:rPr>
          <w:i/>
        </w:rPr>
        <w:t>.</w:t>
      </w:r>
    </w:p>
    <w:p w:rsidR="005413D7" w:rsidRDefault="005413D7" w:rsidP="005413D7">
      <w:pPr>
        <w:pStyle w:val="CUNumber1"/>
        <w:spacing w:line="360" w:lineRule="auto"/>
      </w:pPr>
      <w:r>
        <w:t>The addition of the words "and prominently" are not strictly necessary because "transparent" has been interpreted as allowing a court to consider whether the term is prominent and has been drawn to the applicant's attention.</w:t>
      </w:r>
      <w:r>
        <w:rPr>
          <w:rStyle w:val="FootnoteReference"/>
        </w:rPr>
        <w:footnoteReference w:id="7"/>
      </w:r>
      <w:r>
        <w:t xml:space="preserve">  However, amending the definition of "transparent" will make the requirement of pro</w:t>
      </w:r>
      <w:r w:rsidR="005B36E9">
        <w:t>minence clearer.  The</w:t>
      </w:r>
      <w:r>
        <w:t xml:space="preserve"> concept of prominence is not without preceden</w:t>
      </w:r>
      <w:r w:rsidR="00096A3A">
        <w:t>t</w:t>
      </w:r>
      <w:r>
        <w:t xml:space="preserve">.  The unfair contract term provisions in the </w:t>
      </w:r>
      <w:r w:rsidRPr="00B76278">
        <w:rPr>
          <w:i/>
        </w:rPr>
        <w:t xml:space="preserve">Consumer Rights Act 2015 </w:t>
      </w:r>
      <w:r>
        <w:t>(UK) say that a term is "prominent … i</w:t>
      </w:r>
      <w:r w:rsidRPr="00B76278">
        <w:rPr>
          <w:rStyle w:val="legds"/>
          <w:rFonts w:cs="Arial"/>
          <w:color w:val="000000"/>
          <w:sz w:val="19"/>
          <w:szCs w:val="19"/>
        </w:rPr>
        <w:t>f it is brought to the consumer’s attention in such a way that an average consumer would be aware of the term.</w:t>
      </w:r>
      <w:r>
        <w:rPr>
          <w:rStyle w:val="legds"/>
          <w:rFonts w:cs="Arial"/>
          <w:color w:val="000000"/>
          <w:sz w:val="19"/>
          <w:szCs w:val="19"/>
        </w:rPr>
        <w:t>"</w:t>
      </w:r>
      <w:r>
        <w:rPr>
          <w:rStyle w:val="FootnoteReference"/>
          <w:rFonts w:cs="Arial"/>
          <w:color w:val="000000"/>
          <w:szCs w:val="19"/>
        </w:rPr>
        <w:footnoteReference w:id="8"/>
      </w:r>
      <w:r>
        <w:rPr>
          <w:rStyle w:val="legds"/>
          <w:rFonts w:cs="Arial"/>
          <w:color w:val="000000"/>
          <w:sz w:val="19"/>
          <w:szCs w:val="19"/>
        </w:rPr>
        <w:t xml:space="preserve">  An "average consumer" is "</w:t>
      </w:r>
      <w:r w:rsidRPr="00B76278">
        <w:rPr>
          <w:rStyle w:val="legds"/>
          <w:rFonts w:cs="Arial"/>
          <w:color w:val="000000"/>
          <w:sz w:val="19"/>
          <w:szCs w:val="19"/>
        </w:rPr>
        <w:t>a consumer who is reasonably well-informed, observant and circumspect.</w:t>
      </w:r>
      <w:r>
        <w:rPr>
          <w:rStyle w:val="legds"/>
          <w:rFonts w:cs="Arial"/>
          <w:color w:val="000000"/>
          <w:sz w:val="19"/>
          <w:szCs w:val="19"/>
        </w:rPr>
        <w:t>"</w:t>
      </w:r>
      <w:r>
        <w:rPr>
          <w:rStyle w:val="FootnoteReference"/>
          <w:rFonts w:cs="Arial"/>
          <w:color w:val="000000"/>
          <w:szCs w:val="19"/>
        </w:rPr>
        <w:footnoteReference w:id="9"/>
      </w:r>
    </w:p>
    <w:p w:rsidR="005413D7" w:rsidRDefault="005413D7" w:rsidP="005413D7">
      <w:pPr>
        <w:pStyle w:val="CUNumber1"/>
        <w:spacing w:line="360" w:lineRule="auto"/>
      </w:pPr>
      <w:r>
        <w:t>If the concept of "transparent" was incor</w:t>
      </w:r>
      <w:r w:rsidR="00096A3A">
        <w:t xml:space="preserve">porated into the definition of </w:t>
      </w:r>
      <w:r>
        <w:t>unfair, there would be no need for it to continue as a mandatory consideration for a court when i</w:t>
      </w:r>
      <w:r w:rsidR="00096A3A">
        <w:t xml:space="preserve">t determines whether a term is </w:t>
      </w:r>
      <w:r>
        <w:t xml:space="preserve">unfair.  As stated in my earlier submission, the concept of "transparent" has little logical relevance to the </w:t>
      </w:r>
      <w:r w:rsidR="005B36E9">
        <w:t xml:space="preserve">current </w:t>
      </w:r>
      <w:r>
        <w:t>test for unfair</w:t>
      </w:r>
      <w:r w:rsidR="005B36E9">
        <w:t>ness</w:t>
      </w:r>
      <w:r>
        <w:t xml:space="preserve"> and hence should not continue as a mandatory consideration when</w:t>
      </w:r>
      <w:r w:rsidR="00096A3A">
        <w:t xml:space="preserve"> determining whether a term is </w:t>
      </w:r>
      <w:r>
        <w:t>unfair.</w:t>
      </w:r>
      <w:r>
        <w:rPr>
          <w:rStyle w:val="FootnoteReference"/>
        </w:rPr>
        <w:footnoteReference w:id="10"/>
      </w:r>
    </w:p>
    <w:p w:rsidR="00004D31" w:rsidRDefault="000B71F9" w:rsidP="00B76278">
      <w:pPr>
        <w:pStyle w:val="CUNumber1"/>
        <w:spacing w:line="360" w:lineRule="auto"/>
      </w:pPr>
      <w:r>
        <w:t>In my earlier submission, I warned against adding "</w:t>
      </w:r>
      <w:r w:rsidR="00096A3A">
        <w:t xml:space="preserve">transparency" to the test for </w:t>
      </w:r>
      <w:r>
        <w:t>unfair</w:t>
      </w:r>
      <w:r w:rsidR="005B36E9">
        <w:t>ness</w:t>
      </w:r>
      <w:r>
        <w:t xml:space="preserve"> because it could result in consumers and small businesses being subject to terms that create substantive unfairness provided those terms were transparent.</w:t>
      </w:r>
      <w:r>
        <w:rPr>
          <w:rStyle w:val="FootnoteReference"/>
        </w:rPr>
        <w:footnoteReference w:id="11"/>
      </w:r>
      <w:r>
        <w:t xml:space="preserve">  It is submitted that this should not create a problem provided the applicant was clearly aware of the term before entering into the contract and understood its effect.  If this is so, the applicant made an informed choice to accept any disadvantage caused by the term.  To ensure that the applicant made an informed choice</w:t>
      </w:r>
      <w:r w:rsidR="007B5ED2">
        <w:t xml:space="preserve"> prior to entering the contract</w:t>
      </w:r>
      <w:r w:rsidR="005B36E9">
        <w:t>,</w:t>
      </w:r>
      <w:r w:rsidR="007B5ED2">
        <w:t xml:space="preserve"> </w:t>
      </w:r>
      <w:r w:rsidR="00004D31">
        <w:t>t</w:t>
      </w:r>
      <w:r>
        <w:t>he</w:t>
      </w:r>
      <w:r w:rsidR="00096A3A">
        <w:t xml:space="preserve"> definition of </w:t>
      </w:r>
      <w:r w:rsidR="00004D31">
        <w:t xml:space="preserve">transparent should be </w:t>
      </w:r>
      <w:r w:rsidR="005B36E9">
        <w:t>amended</w:t>
      </w:r>
      <w:r w:rsidR="00004D31">
        <w:t xml:space="preserve"> </w:t>
      </w:r>
      <w:r w:rsidR="00246357">
        <w:t xml:space="preserve">as suggested in paragraph </w:t>
      </w:r>
      <w:r w:rsidR="00246357">
        <w:fldChar w:fldCharType="begin"/>
      </w:r>
      <w:r w:rsidR="00246357">
        <w:instrText xml:space="preserve"> REF _Ref466359271 \r \h </w:instrText>
      </w:r>
      <w:r w:rsidR="00246357">
        <w:fldChar w:fldCharType="separate"/>
      </w:r>
      <w:r w:rsidR="00086F9C">
        <w:t>29</w:t>
      </w:r>
      <w:r w:rsidR="00246357">
        <w:fldChar w:fldCharType="end"/>
      </w:r>
      <w:r w:rsidR="00246357">
        <w:t xml:space="preserve"> above</w:t>
      </w:r>
      <w:r w:rsidR="007B5ED2">
        <w:t>.</w:t>
      </w:r>
    </w:p>
    <w:p w:rsidR="00311813" w:rsidRDefault="007B5ED2" w:rsidP="00B76278">
      <w:pPr>
        <w:pStyle w:val="CUNumber1"/>
        <w:spacing w:line="360" w:lineRule="auto"/>
      </w:pPr>
      <w:r>
        <w:t xml:space="preserve">The onus should be on the applicant to </w:t>
      </w:r>
      <w:r w:rsidR="00096A3A">
        <w:t xml:space="preserve">prove that </w:t>
      </w:r>
      <w:r w:rsidR="005B36E9">
        <w:t>a</w:t>
      </w:r>
      <w:r w:rsidR="00096A3A">
        <w:t xml:space="preserve"> term is</w:t>
      </w:r>
      <w:r w:rsidR="005B36E9">
        <w:t xml:space="preserve"> not</w:t>
      </w:r>
      <w:r w:rsidR="00096A3A">
        <w:t xml:space="preserve"> </w:t>
      </w:r>
      <w:r w:rsidR="00004D31">
        <w:t>transparent</w:t>
      </w:r>
      <w:r>
        <w:t xml:space="preserve">.  This is because the applicant will have first-hand knowledge of the matters necessary to establish that the term was not transparent, such as whether the term was presented clearly and prominently </w:t>
      </w:r>
      <w:r w:rsidR="005B36E9">
        <w:t xml:space="preserve">to them </w:t>
      </w:r>
      <w:r>
        <w:t xml:space="preserve">prior to entering into the contract.  </w:t>
      </w:r>
      <w:r w:rsidR="005B36E9">
        <w:t>Currently, t</w:t>
      </w:r>
      <w:r>
        <w:t>he onus is on the respondent to prove that a contract is not a standard form contract, but that is because only the respondent will know how they dealt with Third Parties.  Hence, the applicant will not have the information necessary</w:t>
      </w:r>
      <w:r w:rsidR="003936A5">
        <w:t xml:space="preserve"> to know whether the contract i</w:t>
      </w:r>
      <w:r>
        <w:t>s a standard form contract.</w:t>
      </w:r>
    </w:p>
    <w:p w:rsidR="00311813" w:rsidRDefault="00311813" w:rsidP="00096A3A">
      <w:pPr>
        <w:keepNext/>
        <w:spacing w:line="360" w:lineRule="auto"/>
        <w:rPr>
          <w:i/>
        </w:rPr>
      </w:pPr>
      <w:r>
        <w:rPr>
          <w:i/>
        </w:rPr>
        <w:t>Recommended solution</w:t>
      </w:r>
    </w:p>
    <w:p w:rsidR="00432E74" w:rsidRDefault="00432E74" w:rsidP="00B76278">
      <w:pPr>
        <w:pStyle w:val="CUNumber1"/>
        <w:spacing w:line="360" w:lineRule="auto"/>
      </w:pPr>
      <w:r>
        <w:t>The definition of standard form contract and s 27 should be removed from the ACL because there is no logical reason to only protect consu</w:t>
      </w:r>
      <w:r w:rsidR="00096A3A">
        <w:t xml:space="preserve">mers and small businesses from </w:t>
      </w:r>
      <w:r>
        <w:t>unfair terms in standard form contracts.  If a term causes unjustifiable hardship</w:t>
      </w:r>
      <w:r w:rsidR="00074624">
        <w:t xml:space="preserve"> and has been inadequately disclosed</w:t>
      </w:r>
      <w:r>
        <w:t xml:space="preserve">, it should not matter whether it is in a negotiated contract or a standard form contract. </w:t>
      </w:r>
      <w:r w:rsidR="00A125B3">
        <w:t xml:space="preserve"> Also, the concept of a </w:t>
      </w:r>
      <w:r>
        <w:lastRenderedPageBreak/>
        <w:t xml:space="preserve">standard form contract </w:t>
      </w:r>
      <w:r w:rsidR="00F16319">
        <w:t>creates uncertainty and may lead to large evidentiary investigations by courts and tribunals</w:t>
      </w:r>
      <w:r>
        <w:t>.</w:t>
      </w:r>
    </w:p>
    <w:p w:rsidR="00311813" w:rsidRPr="00311813" w:rsidRDefault="00311813" w:rsidP="00B76278">
      <w:pPr>
        <w:pStyle w:val="CUNumber1"/>
        <w:spacing w:line="360" w:lineRule="auto"/>
      </w:pPr>
      <w:r>
        <w:t>For the reasons stated above, it is submitted that the third solution should be adopted.</w:t>
      </w:r>
    </w:p>
    <w:p w:rsidR="00535A48" w:rsidRPr="00B44EA2" w:rsidRDefault="00535A48" w:rsidP="00074624">
      <w:pPr>
        <w:keepNext/>
        <w:rPr>
          <w:b/>
          <w:i/>
        </w:rPr>
      </w:pPr>
      <w:r w:rsidRPr="00B44EA2">
        <w:rPr>
          <w:b/>
        </w:rPr>
        <w:t xml:space="preserve">Question 44: </w:t>
      </w:r>
      <w:r w:rsidRPr="00B90B17">
        <w:rPr>
          <w:b/>
          <w:i/>
        </w:rPr>
        <w:t xml:space="preserve">Should the use of terms previously declared </w:t>
      </w:r>
      <w:r w:rsidR="00D4506F">
        <w:rPr>
          <w:b/>
          <w:i/>
        </w:rPr>
        <w:t xml:space="preserve">unfair </w:t>
      </w:r>
      <w:r w:rsidRPr="00B90B17">
        <w:rPr>
          <w:b/>
          <w:i/>
        </w:rPr>
        <w:t>by a court be prohibited?</w:t>
      </w:r>
      <w:r w:rsidRPr="00B44EA2">
        <w:rPr>
          <w:b/>
          <w:i/>
        </w:rPr>
        <w:t xml:space="preserve"> </w:t>
      </w:r>
    </w:p>
    <w:tbl>
      <w:tblPr>
        <w:tblStyle w:val="TableGrid"/>
        <w:tblW w:w="0" w:type="auto"/>
        <w:tblLook w:val="04A0" w:firstRow="1" w:lastRow="0" w:firstColumn="1" w:lastColumn="0" w:noHBand="0" w:noVBand="1"/>
      </w:tblPr>
      <w:tblGrid>
        <w:gridCol w:w="9570"/>
      </w:tblGrid>
      <w:tr w:rsidR="00884E87" w:rsidRPr="00B44EA2" w:rsidTr="00AE24DE">
        <w:tc>
          <w:tcPr>
            <w:tcW w:w="9570" w:type="dxa"/>
            <w:shd w:val="pct10" w:color="auto" w:fill="auto"/>
          </w:tcPr>
          <w:p w:rsidR="00884E87" w:rsidRPr="00B44EA2" w:rsidRDefault="00884E87" w:rsidP="00074624">
            <w:pPr>
              <w:keepNext/>
              <w:rPr>
                <w:b/>
              </w:rPr>
            </w:pPr>
            <w:r w:rsidRPr="00B44EA2">
              <w:rPr>
                <w:b/>
              </w:rPr>
              <w:t>Summary of submission</w:t>
            </w:r>
          </w:p>
          <w:p w:rsidR="00D00677" w:rsidRPr="00B44EA2" w:rsidRDefault="00D00677" w:rsidP="00074624">
            <w:pPr>
              <w:pStyle w:val="ListParagraph"/>
              <w:keepNext/>
              <w:numPr>
                <w:ilvl w:val="0"/>
                <w:numId w:val="23"/>
              </w:numPr>
            </w:pPr>
            <w:r w:rsidRPr="00B44EA2">
              <w:t>A term tha</w:t>
            </w:r>
            <w:r w:rsidR="00D4506F">
              <w:t xml:space="preserve">t has previously been declared </w:t>
            </w:r>
            <w:r w:rsidRPr="00B44EA2">
              <w:t>unfair by a court should not be prohibited.</w:t>
            </w:r>
          </w:p>
          <w:p w:rsidR="00884E87" w:rsidRPr="00B44EA2" w:rsidRDefault="00D00677" w:rsidP="00D4506F">
            <w:pPr>
              <w:pStyle w:val="ListParagraph"/>
              <w:keepNext/>
              <w:numPr>
                <w:ilvl w:val="0"/>
                <w:numId w:val="23"/>
              </w:numPr>
            </w:pPr>
            <w:r w:rsidRPr="00B44EA2">
              <w:t xml:space="preserve">A court may make an order restraining a respondent, who has previously entered into a contract containing an unfair term, from </w:t>
            </w:r>
            <w:r w:rsidR="003936A5">
              <w:t>enforcing</w:t>
            </w:r>
            <w:r w:rsidRPr="00B44EA2">
              <w:t xml:space="preserve"> that term.  A breac</w:t>
            </w:r>
            <w:r w:rsidR="00D4506F">
              <w:t>h of the order may be punished</w:t>
            </w:r>
            <w:r w:rsidRPr="00B44EA2">
              <w:t xml:space="preserve"> as a contempt of court.  T</w:t>
            </w:r>
            <w:r w:rsidR="00D4506F">
              <w:t>his is an appropriate form of</w:t>
            </w:r>
            <w:r w:rsidRPr="00B44EA2">
              <w:t xml:space="preserve"> prohibition.</w:t>
            </w:r>
            <w:r w:rsidR="007C40D8" w:rsidRPr="00B44EA2">
              <w:t xml:space="preserve">  Hence, no legislative change is required.</w:t>
            </w:r>
            <w:r w:rsidRPr="00B44EA2">
              <w:t xml:space="preserve"> </w:t>
            </w:r>
          </w:p>
        </w:tc>
      </w:tr>
    </w:tbl>
    <w:p w:rsidR="00884E87" w:rsidRPr="00B44EA2" w:rsidRDefault="00884E87" w:rsidP="00884E87"/>
    <w:p w:rsidR="007D35E0" w:rsidRPr="00B44EA2" w:rsidRDefault="007D35E0" w:rsidP="007D35E0">
      <w:pPr>
        <w:rPr>
          <w:rFonts w:asciiTheme="majorHAnsi" w:hAnsiTheme="majorHAnsi" w:cs="Cambria"/>
          <w:u w:val="single"/>
        </w:rPr>
      </w:pPr>
      <w:r w:rsidRPr="00B44EA2">
        <w:rPr>
          <w:u w:val="single"/>
        </w:rPr>
        <w:t>Should the use of terms previously declared "unfair" by a court be prohibited?</w:t>
      </w:r>
    </w:p>
    <w:p w:rsidR="008D7564" w:rsidRPr="00B44EA2" w:rsidRDefault="00B7469B" w:rsidP="00393C87">
      <w:pPr>
        <w:pStyle w:val="CUNumber1"/>
        <w:spacing w:line="360" w:lineRule="auto"/>
        <w:rPr>
          <w:rFonts w:asciiTheme="majorHAnsi" w:hAnsiTheme="majorHAnsi" w:cs="Cambria"/>
        </w:rPr>
      </w:pPr>
      <w:r w:rsidRPr="00B44EA2">
        <w:rPr>
          <w:rFonts w:asciiTheme="majorHAnsi" w:hAnsiTheme="majorHAnsi" w:cs="Cambria"/>
        </w:rPr>
        <w:t xml:space="preserve">The ACL </w:t>
      </w:r>
      <w:r w:rsidR="00DA051A" w:rsidRPr="00B44EA2">
        <w:rPr>
          <w:rFonts w:asciiTheme="majorHAnsi" w:hAnsiTheme="majorHAnsi" w:cs="Cambria"/>
        </w:rPr>
        <w:t xml:space="preserve">should </w:t>
      </w:r>
      <w:r w:rsidR="00DA051A" w:rsidRPr="00B44EA2">
        <w:rPr>
          <w:rFonts w:asciiTheme="majorHAnsi" w:hAnsiTheme="majorHAnsi" w:cs="Cambria"/>
          <w:u w:val="single"/>
        </w:rPr>
        <w:t>not</w:t>
      </w:r>
      <w:r w:rsidR="00DA051A" w:rsidRPr="00B44EA2">
        <w:rPr>
          <w:rFonts w:asciiTheme="majorHAnsi" w:hAnsiTheme="majorHAnsi" w:cs="Cambria"/>
        </w:rPr>
        <w:t xml:space="preserve"> prohibit a</w:t>
      </w:r>
      <w:r w:rsidR="00126403" w:rsidRPr="00B44EA2">
        <w:rPr>
          <w:rFonts w:asciiTheme="majorHAnsi" w:hAnsiTheme="majorHAnsi" w:cs="Cambria"/>
        </w:rPr>
        <w:t xml:space="preserve"> term </w:t>
      </w:r>
      <w:r w:rsidR="00393C87" w:rsidRPr="00B44EA2">
        <w:rPr>
          <w:rFonts w:asciiTheme="majorHAnsi" w:hAnsiTheme="majorHAnsi" w:cs="Cambria"/>
        </w:rPr>
        <w:t xml:space="preserve">that has previously been </w:t>
      </w:r>
      <w:r w:rsidR="00126403" w:rsidRPr="00B44EA2">
        <w:rPr>
          <w:rFonts w:asciiTheme="majorHAnsi" w:hAnsiTheme="majorHAnsi" w:cs="Cambria"/>
        </w:rPr>
        <w:t>declared "unfair" by a</w:t>
      </w:r>
      <w:r w:rsidR="008D7564" w:rsidRPr="00B44EA2">
        <w:rPr>
          <w:rFonts w:asciiTheme="majorHAnsi" w:hAnsiTheme="majorHAnsi" w:cs="Cambria"/>
        </w:rPr>
        <w:t xml:space="preserve"> court</w:t>
      </w:r>
      <w:r w:rsidR="00DA051A" w:rsidRPr="00B44EA2">
        <w:rPr>
          <w:rFonts w:asciiTheme="majorHAnsi" w:hAnsiTheme="majorHAnsi" w:cs="Cambria"/>
        </w:rPr>
        <w:t xml:space="preserve"> </w:t>
      </w:r>
      <w:r w:rsidR="008D7564" w:rsidRPr="00B44EA2">
        <w:rPr>
          <w:rFonts w:asciiTheme="majorHAnsi" w:hAnsiTheme="majorHAnsi" w:cs="Cambria"/>
        </w:rPr>
        <w:t>from being used in the future.</w:t>
      </w:r>
      <w:r w:rsidR="00393C87" w:rsidRPr="00B44EA2">
        <w:rPr>
          <w:rFonts w:asciiTheme="majorHAnsi" w:hAnsiTheme="majorHAnsi" w:cs="Cambria"/>
        </w:rPr>
        <w:t xml:space="preserve">  If such a prohibition were introduced, it could work in two ways.  It is submitted that neither way should be adopted for the reasons set out below.</w:t>
      </w:r>
    </w:p>
    <w:p w:rsidR="00393C87" w:rsidRPr="00B44EA2" w:rsidRDefault="00393C87" w:rsidP="00393C87">
      <w:pPr>
        <w:rPr>
          <w:i/>
        </w:rPr>
      </w:pPr>
      <w:r w:rsidRPr="00B44EA2">
        <w:rPr>
          <w:i/>
        </w:rPr>
        <w:t xml:space="preserve">First way:  </w:t>
      </w:r>
      <w:r w:rsidR="00A125B3">
        <w:rPr>
          <w:i/>
        </w:rPr>
        <w:t>The p</w:t>
      </w:r>
      <w:r w:rsidRPr="00B44EA2">
        <w:rPr>
          <w:i/>
        </w:rPr>
        <w:t>rohibition only applies to the respondent in the particular court proceeding</w:t>
      </w:r>
    </w:p>
    <w:p w:rsidR="00393C87" w:rsidRPr="00B44EA2" w:rsidRDefault="00393C87" w:rsidP="00393C87">
      <w:pPr>
        <w:pStyle w:val="CUNumber1"/>
        <w:spacing w:line="360" w:lineRule="auto"/>
        <w:rPr>
          <w:rFonts w:asciiTheme="majorHAnsi" w:hAnsiTheme="majorHAnsi" w:cs="Cambria"/>
        </w:rPr>
      </w:pPr>
      <w:bookmarkStart w:id="9" w:name="_Ref466192705"/>
      <w:r w:rsidRPr="00B44EA2">
        <w:rPr>
          <w:rFonts w:asciiTheme="majorHAnsi" w:hAnsiTheme="majorHAnsi" w:cs="Cambria"/>
        </w:rPr>
        <w:t xml:space="preserve">The prohibition could be limited to the person who was the respondent in the particular court proceeding where the </w:t>
      </w:r>
      <w:r w:rsidR="007D262F" w:rsidRPr="00B44EA2">
        <w:rPr>
          <w:rFonts w:asciiTheme="majorHAnsi" w:hAnsiTheme="majorHAnsi" w:cs="Cambria"/>
        </w:rPr>
        <w:t>term</w:t>
      </w:r>
      <w:r w:rsidRPr="00B44EA2">
        <w:rPr>
          <w:rFonts w:asciiTheme="majorHAnsi" w:hAnsiTheme="majorHAnsi" w:cs="Cambria"/>
        </w:rPr>
        <w:t xml:space="preserve"> was declared “unfair” (</w:t>
      </w:r>
      <w:r w:rsidRPr="00B44EA2">
        <w:rPr>
          <w:rFonts w:asciiTheme="majorHAnsi" w:hAnsiTheme="majorHAnsi" w:cs="Cambria"/>
          <w:b/>
        </w:rPr>
        <w:t>Respondent</w:t>
      </w:r>
      <w:r w:rsidRPr="00B44EA2">
        <w:rPr>
          <w:rFonts w:asciiTheme="majorHAnsi" w:hAnsiTheme="majorHAnsi" w:cs="Cambria"/>
        </w:rPr>
        <w:t xml:space="preserve">).  It is submitted that this is undesirable because the Respondent could use the </w:t>
      </w:r>
      <w:r w:rsidR="007D262F" w:rsidRPr="00B44EA2">
        <w:rPr>
          <w:rFonts w:asciiTheme="majorHAnsi" w:hAnsiTheme="majorHAnsi" w:cs="Cambria"/>
        </w:rPr>
        <w:t>very same term</w:t>
      </w:r>
      <w:r w:rsidRPr="00B44EA2">
        <w:rPr>
          <w:rFonts w:asciiTheme="majorHAnsi" w:hAnsiTheme="majorHAnsi" w:cs="Cambria"/>
        </w:rPr>
        <w:t xml:space="preserve"> in a different context where the term would not be “unfair”.  Whether a term is “unfair” depends on the following matters which are specific to the context in which the term is used.</w:t>
      </w:r>
      <w:bookmarkEnd w:id="9"/>
    </w:p>
    <w:p w:rsidR="003936A5" w:rsidRPr="00B44EA2" w:rsidRDefault="003936A5" w:rsidP="003936A5">
      <w:pPr>
        <w:pStyle w:val="CUNumber3"/>
        <w:spacing w:line="360" w:lineRule="auto"/>
        <w:rPr>
          <w:rFonts w:asciiTheme="majorHAnsi" w:hAnsiTheme="majorHAnsi" w:cs="Cambria"/>
        </w:rPr>
      </w:pPr>
      <w:r>
        <w:rPr>
          <w:rFonts w:asciiTheme="majorHAnsi" w:hAnsiTheme="majorHAnsi" w:cs="Cambria"/>
        </w:rPr>
        <w:t xml:space="preserve">Whether a term is </w:t>
      </w:r>
      <w:r w:rsidRPr="00B44EA2">
        <w:rPr>
          <w:rFonts w:asciiTheme="majorHAnsi" w:hAnsiTheme="majorHAnsi" w:cs="Cambria"/>
        </w:rPr>
        <w:t xml:space="preserve">unfair depends on </w:t>
      </w:r>
      <w:r>
        <w:rPr>
          <w:rFonts w:asciiTheme="majorHAnsi" w:hAnsiTheme="majorHAnsi" w:cs="Cambria"/>
        </w:rPr>
        <w:t xml:space="preserve">whether it causes a significant imbalance in the parties’ rights and obligations arising under the contract.  When determining this, a court must consider </w:t>
      </w:r>
      <w:r w:rsidRPr="00B44EA2">
        <w:rPr>
          <w:rFonts w:asciiTheme="majorHAnsi" w:hAnsiTheme="majorHAnsi" w:cs="Cambria"/>
        </w:rPr>
        <w:t>"the contract as a whole”.</w:t>
      </w:r>
      <w:r w:rsidRPr="00B44EA2">
        <w:rPr>
          <w:rStyle w:val="FootnoteReference"/>
          <w:rFonts w:cs="Cambria"/>
          <w:sz w:val="20"/>
        </w:rPr>
        <w:footnoteReference w:id="12"/>
      </w:r>
      <w:r>
        <w:rPr>
          <w:rFonts w:asciiTheme="majorHAnsi" w:hAnsiTheme="majorHAnsi" w:cs="Cambria"/>
        </w:rPr>
        <w:t xml:space="preserve">  </w:t>
      </w:r>
      <w:r w:rsidRPr="00B44EA2">
        <w:rPr>
          <w:rFonts w:asciiTheme="majorHAnsi" w:hAnsiTheme="majorHAnsi" w:cs="Cambria"/>
        </w:rPr>
        <w:t>It is quite p</w:t>
      </w:r>
      <w:r>
        <w:rPr>
          <w:rFonts w:asciiTheme="majorHAnsi" w:hAnsiTheme="majorHAnsi" w:cs="Cambria"/>
        </w:rPr>
        <w:t xml:space="preserve">ossible that a term, which was </w:t>
      </w:r>
      <w:r w:rsidRPr="00B44EA2">
        <w:rPr>
          <w:rFonts w:asciiTheme="majorHAnsi" w:hAnsiTheme="majorHAnsi" w:cs="Cambria"/>
        </w:rPr>
        <w:t>unfair in the context of a particular contract used by the Respondent, may be fair in a different contract because the other contracting party has been granted a countervailing right or the Respondent has assumed an additional obligation.</w:t>
      </w:r>
    </w:p>
    <w:p w:rsidR="00393C87" w:rsidRPr="00B44EA2" w:rsidRDefault="003936A5" w:rsidP="00393C87">
      <w:pPr>
        <w:pStyle w:val="CUNumber3"/>
        <w:spacing w:line="360" w:lineRule="auto"/>
        <w:rPr>
          <w:rFonts w:asciiTheme="majorHAnsi" w:hAnsiTheme="majorHAnsi" w:cs="Cambria"/>
        </w:rPr>
      </w:pPr>
      <w:r>
        <w:rPr>
          <w:rFonts w:asciiTheme="majorHAnsi" w:hAnsiTheme="majorHAnsi" w:cs="Cambria"/>
        </w:rPr>
        <w:t xml:space="preserve">Whether a term is </w:t>
      </w:r>
      <w:r w:rsidR="00393C87" w:rsidRPr="00B44EA2">
        <w:rPr>
          <w:rFonts w:asciiTheme="majorHAnsi" w:hAnsiTheme="majorHAnsi" w:cs="Cambria"/>
        </w:rPr>
        <w:t>unfair depends on "the extent to which the term is transparent”.</w:t>
      </w:r>
      <w:r w:rsidR="002B09F6" w:rsidRPr="00B44EA2">
        <w:rPr>
          <w:rStyle w:val="FootnoteReference"/>
          <w:rFonts w:cs="Cambria"/>
          <w:sz w:val="20"/>
        </w:rPr>
        <w:footnoteReference w:id="13"/>
      </w:r>
      <w:r w:rsidR="00393C87" w:rsidRPr="00B44EA2">
        <w:rPr>
          <w:rFonts w:asciiTheme="majorHAnsi" w:hAnsiTheme="majorHAnsi" w:cs="Cambria"/>
        </w:rPr>
        <w:t xml:space="preserve">   Transparency is a factor which </w:t>
      </w:r>
      <w:r w:rsidR="002B09F6" w:rsidRPr="00B44EA2">
        <w:rPr>
          <w:rFonts w:asciiTheme="majorHAnsi" w:hAnsiTheme="majorHAnsi" w:cs="Cambria"/>
        </w:rPr>
        <w:t>a</w:t>
      </w:r>
      <w:r w:rsidR="00393C87" w:rsidRPr="00B44EA2">
        <w:rPr>
          <w:rFonts w:asciiTheme="majorHAnsi" w:hAnsiTheme="majorHAnsi" w:cs="Cambria"/>
        </w:rPr>
        <w:t xml:space="preserve"> court </w:t>
      </w:r>
      <w:r w:rsidR="00393C87" w:rsidRPr="00B44EA2">
        <w:rPr>
          <w:rFonts w:asciiTheme="majorHAnsi" w:hAnsiTheme="majorHAnsi" w:cs="Cambria"/>
          <w:i/>
        </w:rPr>
        <w:t>must</w:t>
      </w:r>
      <w:r w:rsidR="00393C87" w:rsidRPr="00B44EA2">
        <w:rPr>
          <w:rFonts w:asciiTheme="majorHAnsi" w:hAnsiTheme="majorHAnsi" w:cs="Cambria"/>
        </w:rPr>
        <w:t xml:space="preserve"> consider in all cases. </w:t>
      </w:r>
      <w:r>
        <w:rPr>
          <w:rFonts w:asciiTheme="majorHAnsi" w:hAnsiTheme="majorHAnsi" w:cs="Cambria"/>
        </w:rPr>
        <w:t xml:space="preserve"> Whether a term is transparent</w:t>
      </w:r>
      <w:r w:rsidR="00393C87" w:rsidRPr="00B44EA2">
        <w:rPr>
          <w:rFonts w:asciiTheme="majorHAnsi" w:hAnsiTheme="majorHAnsi" w:cs="Cambria"/>
        </w:rPr>
        <w:t xml:space="preserve"> depends on the language of the term, how clearly the term is presented and whether the term was "</w:t>
      </w:r>
      <w:r w:rsidR="00393C87" w:rsidRPr="00B44EA2">
        <w:rPr>
          <w:rFonts w:asciiTheme="majorHAnsi" w:hAnsiTheme="majorHAnsi" w:cs="Cambria"/>
          <w:color w:val="000000"/>
        </w:rPr>
        <w:t>readily available to any party affected by the term".</w:t>
      </w:r>
      <w:r w:rsidR="002B09F6" w:rsidRPr="00B44EA2">
        <w:rPr>
          <w:rStyle w:val="FootnoteReference"/>
          <w:rFonts w:cs="Cambria"/>
          <w:color w:val="000000"/>
          <w:sz w:val="20"/>
        </w:rPr>
        <w:footnoteReference w:id="14"/>
      </w:r>
      <w:r w:rsidR="002B09F6" w:rsidRPr="00B44EA2">
        <w:rPr>
          <w:rFonts w:asciiTheme="majorHAnsi" w:hAnsiTheme="majorHAnsi" w:cs="Cambria"/>
          <w:color w:val="000000"/>
        </w:rPr>
        <w:t xml:space="preserve">  It is quite p</w:t>
      </w:r>
      <w:r>
        <w:rPr>
          <w:rFonts w:asciiTheme="majorHAnsi" w:hAnsiTheme="majorHAnsi" w:cs="Cambria"/>
          <w:color w:val="000000"/>
        </w:rPr>
        <w:t xml:space="preserve">ossible that a term, which was </w:t>
      </w:r>
      <w:r w:rsidR="002B09F6" w:rsidRPr="00B44EA2">
        <w:rPr>
          <w:rFonts w:asciiTheme="majorHAnsi" w:hAnsiTheme="majorHAnsi" w:cs="Cambria"/>
          <w:color w:val="000000"/>
        </w:rPr>
        <w:t>unfair because it was concealed from a contracting party, may be fair if it was clearly brought to their attention before they entered into the contract.</w:t>
      </w:r>
    </w:p>
    <w:p w:rsidR="002B09F6" w:rsidRPr="00B44EA2" w:rsidRDefault="003936A5" w:rsidP="00393C87">
      <w:pPr>
        <w:pStyle w:val="CUNumber3"/>
        <w:spacing w:line="360" w:lineRule="auto"/>
        <w:rPr>
          <w:rFonts w:asciiTheme="majorHAnsi" w:hAnsiTheme="majorHAnsi" w:cs="Cambria"/>
        </w:rPr>
      </w:pPr>
      <w:bookmarkStart w:id="10" w:name="_Ref466192730"/>
      <w:r>
        <w:rPr>
          <w:rFonts w:asciiTheme="majorHAnsi" w:hAnsiTheme="majorHAnsi" w:cs="Cambria"/>
        </w:rPr>
        <w:lastRenderedPageBreak/>
        <w:t>Whether a</w:t>
      </w:r>
      <w:r w:rsidR="002B09F6" w:rsidRPr="00B44EA2">
        <w:rPr>
          <w:rFonts w:asciiTheme="majorHAnsi" w:hAnsiTheme="majorHAnsi" w:cs="Cambria"/>
        </w:rPr>
        <w:t xml:space="preserve"> term is unfair</w:t>
      </w:r>
      <w:r>
        <w:rPr>
          <w:rFonts w:asciiTheme="majorHAnsi" w:hAnsiTheme="majorHAnsi" w:cs="Cambria"/>
        </w:rPr>
        <w:t xml:space="preserve"> depends on whether</w:t>
      </w:r>
      <w:r w:rsidR="002B09F6" w:rsidRPr="00B44EA2">
        <w:rPr>
          <w:rFonts w:asciiTheme="majorHAnsi" w:hAnsiTheme="majorHAnsi" w:cs="Cambria"/>
        </w:rPr>
        <w:t xml:space="preserve"> it is “</w:t>
      </w:r>
      <w:r w:rsidR="002B09F6" w:rsidRPr="00B44EA2">
        <w:rPr>
          <w:rFonts w:asciiTheme="majorHAnsi" w:hAnsiTheme="majorHAnsi" w:cs="Cambria"/>
          <w:color w:val="000000"/>
        </w:rPr>
        <w:t>reasonably necessary in order to protect the legitimate interests of the party who would be advantaged by the term”.</w:t>
      </w:r>
      <w:r w:rsidR="002B09F6" w:rsidRPr="00B44EA2">
        <w:rPr>
          <w:rStyle w:val="FootnoteReference"/>
          <w:rFonts w:cs="Cambria"/>
          <w:color w:val="000000"/>
          <w:sz w:val="20"/>
        </w:rPr>
        <w:footnoteReference w:id="15"/>
      </w:r>
      <w:r w:rsidR="002B09F6" w:rsidRPr="00B44EA2">
        <w:rPr>
          <w:rFonts w:asciiTheme="majorHAnsi" w:hAnsiTheme="majorHAnsi" w:cs="Cambria"/>
          <w:color w:val="000000"/>
        </w:rPr>
        <w:t xml:space="preserve">  The circumstances of the Respondent may change after the court’s decision so that </w:t>
      </w:r>
      <w:r>
        <w:rPr>
          <w:rFonts w:asciiTheme="majorHAnsi" w:hAnsiTheme="majorHAnsi" w:cs="Cambria"/>
          <w:color w:val="000000"/>
        </w:rPr>
        <w:t xml:space="preserve">a term may become </w:t>
      </w:r>
      <w:r w:rsidR="002B09F6" w:rsidRPr="00B44EA2">
        <w:rPr>
          <w:rFonts w:asciiTheme="majorHAnsi" w:hAnsiTheme="majorHAnsi" w:cs="Cambria"/>
          <w:color w:val="000000"/>
        </w:rPr>
        <w:t>“reasonably necessary”</w:t>
      </w:r>
      <w:r>
        <w:rPr>
          <w:rFonts w:asciiTheme="majorHAnsi" w:hAnsiTheme="majorHAnsi" w:cs="Cambria"/>
          <w:color w:val="000000"/>
        </w:rPr>
        <w:t xml:space="preserve"> when it previously was not</w:t>
      </w:r>
      <w:r w:rsidR="002B09F6" w:rsidRPr="00B44EA2">
        <w:rPr>
          <w:rFonts w:asciiTheme="majorHAnsi" w:hAnsiTheme="majorHAnsi" w:cs="Cambria"/>
          <w:color w:val="000000"/>
        </w:rPr>
        <w:t>.</w:t>
      </w:r>
      <w:bookmarkEnd w:id="10"/>
    </w:p>
    <w:p w:rsidR="002B09F6" w:rsidRPr="00B44EA2" w:rsidRDefault="002B09F6" w:rsidP="00393C87">
      <w:pPr>
        <w:pStyle w:val="CUNumber3"/>
        <w:spacing w:line="360" w:lineRule="auto"/>
        <w:rPr>
          <w:rFonts w:asciiTheme="majorHAnsi" w:hAnsiTheme="majorHAnsi" w:cs="Cambria"/>
          <w:color w:val="000000"/>
        </w:rPr>
      </w:pPr>
      <w:r w:rsidRPr="00B44EA2">
        <w:rPr>
          <w:rFonts w:asciiTheme="majorHAnsi" w:hAnsiTheme="majorHAnsi" w:cs="Cambria"/>
          <w:color w:val="000000"/>
        </w:rPr>
        <w:t>A term may not be declared void for being “unfair” under s 23 of the ACL if it is “required, or expressly permitted, by a law of the Commonwealth, a State or a Territory.”</w:t>
      </w:r>
      <w:r w:rsidRPr="00B44EA2">
        <w:rPr>
          <w:rStyle w:val="FootnoteReference"/>
          <w:rFonts w:cs="Cambria"/>
          <w:color w:val="000000"/>
          <w:sz w:val="20"/>
        </w:rPr>
        <w:footnoteReference w:id="16"/>
      </w:r>
      <w:r w:rsidRPr="00B44EA2">
        <w:rPr>
          <w:rFonts w:asciiTheme="majorHAnsi" w:hAnsiTheme="majorHAnsi" w:cs="Cambria"/>
          <w:color w:val="000000"/>
        </w:rPr>
        <w:t xml:space="preserve">  A change to legislation </w:t>
      </w:r>
      <w:r w:rsidR="00DA051A" w:rsidRPr="00B44EA2">
        <w:rPr>
          <w:rFonts w:asciiTheme="majorHAnsi" w:hAnsiTheme="majorHAnsi" w:cs="Cambria"/>
          <w:color w:val="000000"/>
        </w:rPr>
        <w:t>after the court’s decision may move the term beyond the reach of s 23.</w:t>
      </w:r>
    </w:p>
    <w:p w:rsidR="00B7469B" w:rsidRPr="00B44EA2" w:rsidRDefault="00B7469B" w:rsidP="00B7469B">
      <w:pPr>
        <w:pStyle w:val="CUNumber1"/>
        <w:spacing w:line="360" w:lineRule="auto"/>
        <w:rPr>
          <w:rFonts w:asciiTheme="majorHAnsi" w:hAnsiTheme="majorHAnsi" w:cs="Cambria"/>
        </w:rPr>
      </w:pPr>
      <w:r w:rsidRPr="00B44EA2">
        <w:rPr>
          <w:rFonts w:asciiTheme="majorHAnsi" w:hAnsiTheme="majorHAnsi" w:cs="Cambria"/>
        </w:rPr>
        <w:t>There have been a small number of decisions in the Federal Court where a term has</w:t>
      </w:r>
      <w:r w:rsidR="003936A5">
        <w:rPr>
          <w:rFonts w:asciiTheme="majorHAnsi" w:hAnsiTheme="majorHAnsi" w:cs="Cambria"/>
        </w:rPr>
        <w:t xml:space="preserve"> been declared unfair</w:t>
      </w:r>
      <w:r w:rsidRPr="00B44EA2">
        <w:rPr>
          <w:rFonts w:asciiTheme="majorHAnsi" w:hAnsiTheme="majorHAnsi" w:cs="Cambria"/>
        </w:rPr>
        <w:t>.  These decisi</w:t>
      </w:r>
      <w:r w:rsidR="003936A5">
        <w:rPr>
          <w:rFonts w:asciiTheme="majorHAnsi" w:hAnsiTheme="majorHAnsi" w:cs="Cambria"/>
        </w:rPr>
        <w:t>ons have declared a term to be unfair</w:t>
      </w:r>
      <w:r w:rsidRPr="00B44EA2">
        <w:rPr>
          <w:rFonts w:asciiTheme="majorHAnsi" w:hAnsiTheme="majorHAnsi" w:cs="Cambria"/>
        </w:rPr>
        <w:t xml:space="preserve"> when used in a particular contract in the past.</w:t>
      </w:r>
      <w:r w:rsidRPr="00B44EA2">
        <w:rPr>
          <w:rStyle w:val="FootnoteReference"/>
          <w:rFonts w:cs="Cambria"/>
          <w:sz w:val="20"/>
        </w:rPr>
        <w:footnoteReference w:id="17"/>
      </w:r>
      <w:r w:rsidRPr="00B44EA2">
        <w:rPr>
          <w:rFonts w:asciiTheme="majorHAnsi" w:hAnsiTheme="majorHAnsi" w:cs="Cambria"/>
        </w:rPr>
        <w:t xml:space="preserve">  There have been no decisions which say that a term is unfair in all contexts.  It is submitted that this is appropriate since </w:t>
      </w:r>
      <w:r w:rsidR="003936A5">
        <w:rPr>
          <w:rFonts w:asciiTheme="majorHAnsi" w:hAnsiTheme="majorHAnsi" w:cs="Cambria"/>
        </w:rPr>
        <w:t xml:space="preserve">whether a term is </w:t>
      </w:r>
      <w:r w:rsidRPr="00B44EA2">
        <w:rPr>
          <w:rFonts w:asciiTheme="majorHAnsi" w:hAnsiTheme="majorHAnsi" w:cs="Cambria"/>
        </w:rPr>
        <w:t xml:space="preserve">unfair depends on its context.  </w:t>
      </w:r>
    </w:p>
    <w:p w:rsidR="00DA051A" w:rsidRPr="00B44EA2" w:rsidRDefault="00DA051A" w:rsidP="00CF7AA2">
      <w:pPr>
        <w:keepNext/>
        <w:rPr>
          <w:i/>
        </w:rPr>
      </w:pPr>
      <w:r w:rsidRPr="00B44EA2">
        <w:rPr>
          <w:i/>
        </w:rPr>
        <w:t xml:space="preserve">Second way:  </w:t>
      </w:r>
      <w:r w:rsidR="00A125B3">
        <w:rPr>
          <w:i/>
        </w:rPr>
        <w:t>The p</w:t>
      </w:r>
      <w:r w:rsidRPr="00B44EA2">
        <w:rPr>
          <w:i/>
        </w:rPr>
        <w:t>rohibition applies to all persons, and not just the Respondent</w:t>
      </w:r>
    </w:p>
    <w:p w:rsidR="00DA051A" w:rsidRPr="00B44EA2" w:rsidRDefault="00DA051A" w:rsidP="00393C87">
      <w:pPr>
        <w:pStyle w:val="CUNumber1"/>
        <w:spacing w:line="360" w:lineRule="auto"/>
        <w:rPr>
          <w:rFonts w:asciiTheme="majorHAnsi" w:hAnsiTheme="majorHAnsi" w:cs="Cambria"/>
        </w:rPr>
      </w:pPr>
      <w:r w:rsidRPr="00B44EA2">
        <w:rPr>
          <w:rFonts w:asciiTheme="majorHAnsi" w:hAnsiTheme="majorHAnsi" w:cs="Cambria"/>
        </w:rPr>
        <w:t>Prohibiting the use by any person (i.e. not just the Respondent) of a term tha</w:t>
      </w:r>
      <w:r w:rsidR="003936A5">
        <w:rPr>
          <w:rFonts w:asciiTheme="majorHAnsi" w:hAnsiTheme="majorHAnsi" w:cs="Cambria"/>
        </w:rPr>
        <w:t>t has previously been declared unfair</w:t>
      </w:r>
      <w:r w:rsidRPr="00B44EA2">
        <w:rPr>
          <w:rFonts w:asciiTheme="majorHAnsi" w:hAnsiTheme="majorHAnsi" w:cs="Cambria"/>
        </w:rPr>
        <w:t xml:space="preserve"> is inappropriate for the reasons </w:t>
      </w:r>
      <w:r w:rsidR="00AD08F7" w:rsidRPr="00B44EA2">
        <w:rPr>
          <w:rFonts w:asciiTheme="majorHAnsi" w:hAnsiTheme="majorHAnsi" w:cs="Cambria"/>
        </w:rPr>
        <w:t>referred</w:t>
      </w:r>
      <w:r w:rsidR="00B7469B" w:rsidRPr="00B44EA2">
        <w:rPr>
          <w:rFonts w:asciiTheme="majorHAnsi" w:hAnsiTheme="majorHAnsi" w:cs="Cambria"/>
        </w:rPr>
        <w:t xml:space="preserve"> to</w:t>
      </w:r>
      <w:r w:rsidR="003936A5">
        <w:rPr>
          <w:rFonts w:asciiTheme="majorHAnsi" w:hAnsiTheme="majorHAnsi" w:cs="Cambria"/>
        </w:rPr>
        <w:t xml:space="preserve"> in paragraph </w:t>
      </w:r>
      <w:r w:rsidR="003936A5">
        <w:rPr>
          <w:rFonts w:asciiTheme="majorHAnsi" w:hAnsiTheme="majorHAnsi" w:cs="Cambria"/>
        </w:rPr>
        <w:fldChar w:fldCharType="begin"/>
      </w:r>
      <w:r w:rsidR="003936A5">
        <w:rPr>
          <w:rFonts w:asciiTheme="majorHAnsi" w:hAnsiTheme="majorHAnsi" w:cs="Cambria"/>
        </w:rPr>
        <w:instrText xml:space="preserve"> REF _Ref466192705 \r \h </w:instrText>
      </w:r>
      <w:r w:rsidR="003936A5">
        <w:rPr>
          <w:rFonts w:asciiTheme="majorHAnsi" w:hAnsiTheme="majorHAnsi" w:cs="Cambria"/>
        </w:rPr>
      </w:r>
      <w:r w:rsidR="003936A5">
        <w:rPr>
          <w:rFonts w:asciiTheme="majorHAnsi" w:hAnsiTheme="majorHAnsi" w:cs="Cambria"/>
        </w:rPr>
        <w:fldChar w:fldCharType="separate"/>
      </w:r>
      <w:r w:rsidR="00086F9C">
        <w:rPr>
          <w:rFonts w:asciiTheme="majorHAnsi" w:hAnsiTheme="majorHAnsi" w:cs="Cambria"/>
        </w:rPr>
        <w:t>37</w:t>
      </w:r>
      <w:r w:rsidR="003936A5">
        <w:rPr>
          <w:rFonts w:asciiTheme="majorHAnsi" w:hAnsiTheme="majorHAnsi" w:cs="Cambria"/>
        </w:rPr>
        <w:fldChar w:fldCharType="end"/>
      </w:r>
      <w:r w:rsidR="003936A5">
        <w:rPr>
          <w:rFonts w:asciiTheme="majorHAnsi" w:hAnsiTheme="majorHAnsi" w:cs="Cambria"/>
        </w:rPr>
        <w:t xml:space="preserve"> above</w:t>
      </w:r>
      <w:r w:rsidRPr="00B44EA2">
        <w:rPr>
          <w:rFonts w:asciiTheme="majorHAnsi" w:hAnsiTheme="majorHAnsi" w:cs="Cambria"/>
        </w:rPr>
        <w:t xml:space="preserve">.  </w:t>
      </w:r>
      <w:r w:rsidR="00A125B3">
        <w:rPr>
          <w:rFonts w:asciiTheme="majorHAnsi" w:hAnsiTheme="majorHAnsi" w:cs="Cambria"/>
        </w:rPr>
        <w:t>T</w:t>
      </w:r>
      <w:r w:rsidRPr="00B44EA2">
        <w:rPr>
          <w:rFonts w:asciiTheme="majorHAnsi" w:hAnsiTheme="majorHAnsi" w:cs="Cambria"/>
        </w:rPr>
        <w:t xml:space="preserve">he reason referred to in </w:t>
      </w:r>
      <w:r w:rsidRPr="00B44EA2">
        <w:rPr>
          <w:rFonts w:asciiTheme="majorHAnsi" w:hAnsiTheme="majorHAnsi" w:cs="Cambria"/>
        </w:rPr>
        <w:fldChar w:fldCharType="begin"/>
      </w:r>
      <w:r w:rsidRPr="00B44EA2">
        <w:rPr>
          <w:rFonts w:asciiTheme="majorHAnsi" w:hAnsiTheme="majorHAnsi" w:cs="Cambria"/>
        </w:rPr>
        <w:instrText xml:space="preserve"> REF _Ref466192730 \r \h </w:instrText>
      </w:r>
      <w:r w:rsidR="00B44EA2">
        <w:rPr>
          <w:rFonts w:asciiTheme="majorHAnsi" w:hAnsiTheme="majorHAnsi" w:cs="Cambria"/>
        </w:rPr>
        <w:instrText xml:space="preserve"> \* MERGEFORMAT </w:instrText>
      </w:r>
      <w:r w:rsidRPr="00B44EA2">
        <w:rPr>
          <w:rFonts w:asciiTheme="majorHAnsi" w:hAnsiTheme="majorHAnsi" w:cs="Cambria"/>
        </w:rPr>
      </w:r>
      <w:r w:rsidRPr="00B44EA2">
        <w:rPr>
          <w:rFonts w:asciiTheme="majorHAnsi" w:hAnsiTheme="majorHAnsi" w:cs="Cambria"/>
        </w:rPr>
        <w:fldChar w:fldCharType="separate"/>
      </w:r>
      <w:r w:rsidR="00086F9C">
        <w:rPr>
          <w:rFonts w:asciiTheme="majorHAnsi" w:hAnsiTheme="majorHAnsi" w:cs="Cambria"/>
        </w:rPr>
        <w:t>37(c)</w:t>
      </w:r>
      <w:r w:rsidRPr="00B44EA2">
        <w:rPr>
          <w:rFonts w:asciiTheme="majorHAnsi" w:hAnsiTheme="majorHAnsi" w:cs="Cambria"/>
        </w:rPr>
        <w:fldChar w:fldCharType="end"/>
      </w:r>
      <w:r w:rsidRPr="00B44EA2">
        <w:rPr>
          <w:rFonts w:asciiTheme="majorHAnsi" w:hAnsiTheme="majorHAnsi" w:cs="Cambria"/>
        </w:rPr>
        <w:t xml:space="preserve"> above is of greater significance to a person other than the Respondent because that person is likely to operate in a different environment and due to that different environment, the term may be “reasonably necessary”</w:t>
      </w:r>
      <w:r w:rsidR="00B7469B" w:rsidRPr="00B44EA2">
        <w:rPr>
          <w:rFonts w:asciiTheme="majorHAnsi" w:hAnsiTheme="majorHAnsi" w:cs="Cambria"/>
        </w:rPr>
        <w:t xml:space="preserve"> to protect their legitimate interests</w:t>
      </w:r>
      <w:r w:rsidRPr="00B44EA2">
        <w:rPr>
          <w:rFonts w:asciiTheme="majorHAnsi" w:hAnsiTheme="majorHAnsi" w:cs="Cambria"/>
        </w:rPr>
        <w:t>.</w:t>
      </w:r>
    </w:p>
    <w:p w:rsidR="007D262F" w:rsidRPr="00A125B3" w:rsidRDefault="007D262F" w:rsidP="00393C87">
      <w:pPr>
        <w:pStyle w:val="CUNumber1"/>
        <w:spacing w:line="360" w:lineRule="auto"/>
        <w:rPr>
          <w:rFonts w:asciiTheme="majorHAnsi" w:hAnsiTheme="majorHAnsi" w:cs="Cambria"/>
        </w:rPr>
      </w:pPr>
      <w:r w:rsidRPr="00A125B3">
        <w:rPr>
          <w:rFonts w:asciiTheme="majorHAnsi" w:hAnsiTheme="majorHAnsi" w:cs="Cambria"/>
        </w:rPr>
        <w:t>If</w:t>
      </w:r>
      <w:r w:rsidR="00DA051A" w:rsidRPr="00A125B3">
        <w:rPr>
          <w:rFonts w:asciiTheme="majorHAnsi" w:hAnsiTheme="majorHAnsi" w:cs="Cambria"/>
        </w:rPr>
        <w:t xml:space="preserve"> </w:t>
      </w:r>
      <w:r w:rsidRPr="00A125B3">
        <w:rPr>
          <w:rFonts w:asciiTheme="majorHAnsi" w:hAnsiTheme="majorHAnsi" w:cs="Cambria"/>
        </w:rPr>
        <w:t xml:space="preserve">any person is prohibited from using </w:t>
      </w:r>
      <w:r w:rsidR="00DA051A" w:rsidRPr="00A125B3">
        <w:rPr>
          <w:rFonts w:asciiTheme="majorHAnsi" w:hAnsiTheme="majorHAnsi" w:cs="Cambria"/>
        </w:rPr>
        <w:t xml:space="preserve">a term that </w:t>
      </w:r>
      <w:r w:rsidR="0091361B">
        <w:rPr>
          <w:rFonts w:asciiTheme="majorHAnsi" w:hAnsiTheme="majorHAnsi" w:cs="Cambria"/>
        </w:rPr>
        <w:t>has previously been declared unfair</w:t>
      </w:r>
      <w:r w:rsidRPr="00A125B3">
        <w:rPr>
          <w:rFonts w:asciiTheme="majorHAnsi" w:hAnsiTheme="majorHAnsi" w:cs="Cambria"/>
        </w:rPr>
        <w:t xml:space="preserve">, the courts will </w:t>
      </w:r>
      <w:r w:rsidR="00A125B3" w:rsidRPr="00A125B3">
        <w:rPr>
          <w:rFonts w:asciiTheme="majorHAnsi" w:hAnsiTheme="majorHAnsi" w:cs="Cambria"/>
        </w:rPr>
        <w:t>have</w:t>
      </w:r>
      <w:r w:rsidRPr="00A125B3">
        <w:rPr>
          <w:rFonts w:asciiTheme="majorHAnsi" w:hAnsiTheme="majorHAnsi" w:cs="Cambria"/>
        </w:rPr>
        <w:t xml:space="preserve"> the power to “legislate”.  A court will effectively be </w:t>
      </w:r>
      <w:r w:rsidR="00A125B3" w:rsidRPr="00A125B3">
        <w:rPr>
          <w:rFonts w:asciiTheme="majorHAnsi" w:hAnsiTheme="majorHAnsi" w:cs="Cambria"/>
        </w:rPr>
        <w:t>empowered</w:t>
      </w:r>
      <w:r w:rsidRPr="00A125B3">
        <w:rPr>
          <w:rFonts w:asciiTheme="majorHAnsi" w:hAnsiTheme="majorHAnsi" w:cs="Cambria"/>
        </w:rPr>
        <w:t xml:space="preserve"> to ban a term from being used by everyone</w:t>
      </w:r>
      <w:r w:rsidR="0091361B">
        <w:rPr>
          <w:rFonts w:asciiTheme="majorHAnsi" w:hAnsiTheme="majorHAnsi" w:cs="Cambria"/>
        </w:rPr>
        <w:t xml:space="preserve"> in Australia</w:t>
      </w:r>
      <w:r w:rsidRPr="00A125B3">
        <w:rPr>
          <w:rFonts w:asciiTheme="majorHAnsi" w:hAnsiTheme="majorHAnsi" w:cs="Cambria"/>
        </w:rPr>
        <w:t xml:space="preserve">.  This is inappropriate because a court makes a decision based on the evidence immediately before it and the rights and obligations of the parties immediately before it.  It does not consider the broader effects on the economy and business because it does not </w:t>
      </w:r>
      <w:r w:rsidR="00B7469B" w:rsidRPr="00A125B3">
        <w:rPr>
          <w:rFonts w:asciiTheme="majorHAnsi" w:hAnsiTheme="majorHAnsi" w:cs="Cambria"/>
        </w:rPr>
        <w:t xml:space="preserve">have </w:t>
      </w:r>
      <w:r w:rsidRPr="00A125B3">
        <w:rPr>
          <w:rFonts w:asciiTheme="majorHAnsi" w:hAnsiTheme="majorHAnsi" w:cs="Cambria"/>
        </w:rPr>
        <w:t xml:space="preserve">the material to do so and that is not its role.  Previous and current legislation concerning unfair contract terms support the view that a court should not “legislate” </w:t>
      </w:r>
      <w:r w:rsidR="00B7469B" w:rsidRPr="00A125B3">
        <w:rPr>
          <w:rFonts w:asciiTheme="majorHAnsi" w:hAnsiTheme="majorHAnsi" w:cs="Cambria"/>
        </w:rPr>
        <w:t>in respect of the use of terms</w:t>
      </w:r>
      <w:r w:rsidRPr="00A125B3">
        <w:rPr>
          <w:rFonts w:asciiTheme="majorHAnsi" w:hAnsiTheme="majorHAnsi" w:cs="Cambria"/>
        </w:rPr>
        <w:t>.</w:t>
      </w:r>
      <w:r w:rsidR="00A125B3">
        <w:rPr>
          <w:rFonts w:asciiTheme="majorHAnsi" w:hAnsiTheme="majorHAnsi" w:cs="Cambria"/>
        </w:rPr>
        <w:t xml:space="preserve">  </w:t>
      </w:r>
      <w:r w:rsidRPr="00A125B3">
        <w:rPr>
          <w:rFonts w:asciiTheme="majorHAnsi" w:hAnsiTheme="majorHAnsi" w:cs="Cambria"/>
        </w:rPr>
        <w:t xml:space="preserve">There are two examples of </w:t>
      </w:r>
      <w:r w:rsidR="0091361B">
        <w:rPr>
          <w:rFonts w:asciiTheme="majorHAnsi" w:hAnsiTheme="majorHAnsi" w:cs="Cambria"/>
        </w:rPr>
        <w:t xml:space="preserve">such </w:t>
      </w:r>
      <w:r w:rsidRPr="00A125B3">
        <w:rPr>
          <w:rFonts w:asciiTheme="majorHAnsi" w:hAnsiTheme="majorHAnsi" w:cs="Cambria"/>
        </w:rPr>
        <w:t>previous legislation.</w:t>
      </w:r>
    </w:p>
    <w:p w:rsidR="007D262F" w:rsidRPr="00B44EA2" w:rsidRDefault="007D262F" w:rsidP="007D262F">
      <w:pPr>
        <w:pStyle w:val="CUNumber3"/>
        <w:spacing w:line="360" w:lineRule="auto"/>
      </w:pPr>
      <w:r w:rsidRPr="00B44EA2">
        <w:t xml:space="preserve">First, s 32Z of the now-repealed </w:t>
      </w:r>
      <w:r w:rsidRPr="00B44EA2">
        <w:rPr>
          <w:i/>
        </w:rPr>
        <w:t>Fair Trading Act 1999</w:t>
      </w:r>
      <w:r w:rsidRPr="00B44EA2">
        <w:t xml:space="preserve"> (Vic) imposed a penalty if a </w:t>
      </w:r>
      <w:r w:rsidRPr="00B44EA2">
        <w:rPr>
          <w:rFonts w:asciiTheme="majorHAnsi" w:hAnsiTheme="majorHAnsi" w:cs="Cambria"/>
        </w:rPr>
        <w:t>supplier</w:t>
      </w:r>
      <w:r w:rsidRPr="00B44EA2">
        <w:t xml:space="preserve"> used a “prescribed unfair term” in relation to a consumer in a standard for</w:t>
      </w:r>
      <w:r w:rsidR="00A125B3">
        <w:t>m contract.  Section 32U defined</w:t>
      </w:r>
      <w:r w:rsidRPr="00B44EA2">
        <w:t xml:space="preserve"> a “prescribed unfair term” as a “term that is prescribed by the regulation</w:t>
      </w:r>
      <w:r w:rsidR="00A125B3">
        <w:t>s</w:t>
      </w:r>
      <w:r w:rsidRPr="00B44EA2">
        <w:t xml:space="preserve"> to be an unfair term or a term to the like effect”.  Hence, the power </w:t>
      </w:r>
      <w:r w:rsidR="00936B7C" w:rsidRPr="00B44EA2">
        <w:t>to generally prohibit a term was not given to the courts</w:t>
      </w:r>
      <w:r w:rsidR="00A125B3">
        <w:t xml:space="preserve"> but to those who created the regulations</w:t>
      </w:r>
      <w:r w:rsidR="00936B7C" w:rsidRPr="00B44EA2">
        <w:t xml:space="preserve">. </w:t>
      </w:r>
      <w:r w:rsidR="0091361B">
        <w:t xml:space="preserve"> </w:t>
      </w:r>
      <w:r w:rsidR="00AE24DE">
        <w:t>No "prescribed unfair terms" were created by regulations.</w:t>
      </w:r>
    </w:p>
    <w:p w:rsidR="007D262F" w:rsidRPr="00B44EA2" w:rsidRDefault="007D262F" w:rsidP="007D262F">
      <w:pPr>
        <w:pStyle w:val="CUNumber3"/>
        <w:spacing w:line="360" w:lineRule="auto"/>
      </w:pPr>
      <w:r w:rsidRPr="00B44EA2">
        <w:lastRenderedPageBreak/>
        <w:t xml:space="preserve">Second, the Trade Practices Amendment (Australian Consumer Law) Bill 2009 </w:t>
      </w:r>
      <w:r w:rsidRPr="00B44EA2">
        <w:rPr>
          <w:rFonts w:asciiTheme="majorHAnsi" w:hAnsiTheme="majorHAnsi" w:cs="Cambria"/>
        </w:rPr>
        <w:t>originally</w:t>
      </w:r>
      <w:r w:rsidRPr="00B44EA2">
        <w:t xml:space="preserve"> contained provisions that forbid a person from including a "prohibited ter</w:t>
      </w:r>
      <w:r w:rsidR="0091361B">
        <w:t>m" in a consumer contract that wa</w:t>
      </w:r>
      <w:r w:rsidRPr="00B44EA2">
        <w:t>s a standard form contract.</w:t>
      </w:r>
      <w:r w:rsidR="00936B7C" w:rsidRPr="00B44EA2">
        <w:rPr>
          <w:rStyle w:val="FootnoteReference"/>
          <w:sz w:val="20"/>
        </w:rPr>
        <w:footnoteReference w:id="18"/>
      </w:r>
      <w:r w:rsidRPr="00B44EA2">
        <w:t xml:space="preserve">  The use of a "prohibited term" would be punishable by a pecuniary penalty.  A "prohibited term" would be prescribed by regulations.  These provisions were not ultimately included in the </w:t>
      </w:r>
      <w:r w:rsidR="0091361B">
        <w:t>ACL</w:t>
      </w:r>
      <w:r w:rsidRPr="00B44EA2">
        <w:t>.</w:t>
      </w:r>
      <w:r w:rsidR="00936B7C" w:rsidRPr="00B44EA2">
        <w:t xml:space="preserve">  Once again, the power to generally prohibit a term was not given to the courts</w:t>
      </w:r>
      <w:r w:rsidR="00AE24DE">
        <w:t xml:space="preserve"> but to those who created the regulations</w:t>
      </w:r>
      <w:r w:rsidR="00936B7C" w:rsidRPr="00B44EA2">
        <w:t xml:space="preserve">.  </w:t>
      </w:r>
    </w:p>
    <w:p w:rsidR="00936B7C" w:rsidRPr="00B44EA2" w:rsidRDefault="00936B7C" w:rsidP="00CF7AA2">
      <w:pPr>
        <w:pStyle w:val="CUNumber1"/>
        <w:spacing w:line="360" w:lineRule="auto"/>
        <w:rPr>
          <w:rFonts w:asciiTheme="majorHAnsi" w:hAnsiTheme="majorHAnsi" w:cs="Cambria"/>
        </w:rPr>
      </w:pPr>
      <w:r w:rsidRPr="00B44EA2">
        <w:rPr>
          <w:rFonts w:asciiTheme="majorHAnsi" w:hAnsiTheme="majorHAnsi" w:cs="Cambria"/>
        </w:rPr>
        <w:t xml:space="preserve">As for current legislation, </w:t>
      </w:r>
      <w:r w:rsidRPr="00B44EA2">
        <w:t xml:space="preserve">s 25(1)(n) of the ACL allows </w:t>
      </w:r>
      <w:r w:rsidR="00AE24DE">
        <w:t xml:space="preserve">the "grey list" of potentially </w:t>
      </w:r>
      <w:r w:rsidRPr="00B44EA2">
        <w:t xml:space="preserve">unfair terms to be </w:t>
      </w:r>
      <w:r w:rsidR="0091361B">
        <w:t>supplemented</w:t>
      </w:r>
      <w:r w:rsidR="00AE24DE">
        <w:t xml:space="preserve"> </w:t>
      </w:r>
      <w:r w:rsidRPr="00B44EA2">
        <w:t xml:space="preserve">by regulations.  </w:t>
      </w:r>
      <w:r w:rsidR="00BE0138" w:rsidRPr="00B44EA2">
        <w:t>Section 25(2) provides that b</w:t>
      </w:r>
      <w:r w:rsidRPr="00B44EA2">
        <w:t>efore the Governor-General makes a regu</w:t>
      </w:r>
      <w:r w:rsidR="00AE24DE">
        <w:t>lation that adds a term to the "</w:t>
      </w:r>
      <w:r w:rsidRPr="00B44EA2">
        <w:t>grey list</w:t>
      </w:r>
      <w:r w:rsidR="00AE24DE">
        <w:t>"</w:t>
      </w:r>
      <w:r w:rsidRPr="00B44EA2">
        <w:t xml:space="preserve">, the Minister must consider the broader consequences of doing this, including </w:t>
      </w:r>
      <w:r w:rsidR="00AE24DE">
        <w:rPr>
          <w:lang w:eastAsia="ja-JP"/>
        </w:rPr>
        <w:t>"</w:t>
      </w:r>
      <w:r w:rsidRPr="00B44EA2">
        <w:rPr>
          <w:lang w:eastAsia="ja-JP"/>
        </w:rPr>
        <w:t>the impact on business generally of prescrib</w:t>
      </w:r>
      <w:r w:rsidR="0091361B">
        <w:rPr>
          <w:lang w:eastAsia="ja-JP"/>
        </w:rPr>
        <w:t>ing that kind of term</w:t>
      </w:r>
      <w:r w:rsidR="00AE24DE">
        <w:rPr>
          <w:lang w:eastAsia="ja-JP"/>
        </w:rPr>
        <w:t>"</w:t>
      </w:r>
      <w:r w:rsidRPr="00B44EA2">
        <w:rPr>
          <w:lang w:eastAsia="ja-JP"/>
        </w:rPr>
        <w:t xml:space="preserve"> and the public interest.</w:t>
      </w:r>
      <w:r w:rsidRPr="00B44EA2">
        <w:rPr>
          <w:rStyle w:val="FootnoteReference"/>
          <w:sz w:val="20"/>
          <w:lang w:eastAsia="ja-JP"/>
        </w:rPr>
        <w:footnoteReference w:id="19"/>
      </w:r>
      <w:r w:rsidRPr="00B44EA2">
        <w:rPr>
          <w:lang w:eastAsia="ja-JP"/>
        </w:rPr>
        <w:t xml:space="preserve">  It is telling that these matters must be considered for a term that </w:t>
      </w:r>
      <w:r w:rsidRPr="00B44EA2">
        <w:rPr>
          <w:i/>
          <w:lang w:eastAsia="ja-JP"/>
        </w:rPr>
        <w:t xml:space="preserve">may </w:t>
      </w:r>
      <w:r w:rsidR="0091361B">
        <w:rPr>
          <w:lang w:eastAsia="ja-JP"/>
        </w:rPr>
        <w:t xml:space="preserve">be </w:t>
      </w:r>
      <w:r w:rsidRPr="00B44EA2">
        <w:rPr>
          <w:lang w:eastAsia="ja-JP"/>
        </w:rPr>
        <w:t>unfair and not necessarily is</w:t>
      </w:r>
      <w:r w:rsidR="00AE24DE">
        <w:rPr>
          <w:lang w:eastAsia="ja-JP"/>
        </w:rPr>
        <w:t xml:space="preserve"> "unfair"</w:t>
      </w:r>
      <w:r w:rsidRPr="00B44EA2">
        <w:rPr>
          <w:lang w:eastAsia="ja-JP"/>
        </w:rPr>
        <w:t xml:space="preserve">.  If these matters must be considered for a term that </w:t>
      </w:r>
      <w:r w:rsidRPr="00B44EA2">
        <w:rPr>
          <w:i/>
          <w:lang w:eastAsia="ja-JP"/>
        </w:rPr>
        <w:t>may</w:t>
      </w:r>
      <w:r w:rsidR="0091361B">
        <w:rPr>
          <w:lang w:eastAsia="ja-JP"/>
        </w:rPr>
        <w:t xml:space="preserve"> be </w:t>
      </w:r>
      <w:r w:rsidRPr="00B44EA2">
        <w:rPr>
          <w:lang w:eastAsia="ja-JP"/>
        </w:rPr>
        <w:t xml:space="preserve">unfair, they must surely be considered for a term that </w:t>
      </w:r>
      <w:r w:rsidRPr="00B44EA2">
        <w:rPr>
          <w:i/>
          <w:lang w:eastAsia="ja-JP"/>
        </w:rPr>
        <w:t>will be</w:t>
      </w:r>
      <w:r w:rsidR="0091361B">
        <w:rPr>
          <w:lang w:eastAsia="ja-JP"/>
        </w:rPr>
        <w:t xml:space="preserve"> treated as </w:t>
      </w:r>
      <w:r w:rsidRPr="00B44EA2">
        <w:rPr>
          <w:lang w:eastAsia="ja-JP"/>
        </w:rPr>
        <w:t>unfair.  A court is not well-placed to consider these matters while a Minister, who has the assistance of a government department</w:t>
      </w:r>
      <w:r w:rsidR="00AE24DE">
        <w:rPr>
          <w:lang w:eastAsia="ja-JP"/>
        </w:rPr>
        <w:t xml:space="preserve"> which can carry out inquiries, </w:t>
      </w:r>
      <w:r w:rsidRPr="00B44EA2">
        <w:rPr>
          <w:lang w:eastAsia="ja-JP"/>
        </w:rPr>
        <w:t xml:space="preserve">is. </w:t>
      </w:r>
    </w:p>
    <w:p w:rsidR="00936B7C" w:rsidRPr="00B44EA2" w:rsidRDefault="00936B7C" w:rsidP="00393C87">
      <w:pPr>
        <w:pStyle w:val="CUNumber1"/>
        <w:spacing w:line="360" w:lineRule="auto"/>
        <w:rPr>
          <w:rFonts w:asciiTheme="majorHAnsi" w:hAnsiTheme="majorHAnsi" w:cs="Cambria"/>
        </w:rPr>
      </w:pPr>
      <w:r w:rsidRPr="00B44EA2">
        <w:rPr>
          <w:rFonts w:asciiTheme="majorHAnsi" w:hAnsiTheme="majorHAnsi" w:cs="Cambria"/>
        </w:rPr>
        <w:t xml:space="preserve">If the ACL is amended so that all persons are prohibited from using a term that has previously been declared </w:t>
      </w:r>
      <w:r w:rsidR="00AE24DE">
        <w:rPr>
          <w:rFonts w:asciiTheme="majorHAnsi" w:hAnsiTheme="majorHAnsi" w:cs="Cambria"/>
        </w:rPr>
        <w:t>unfair</w:t>
      </w:r>
      <w:r w:rsidRPr="00B44EA2">
        <w:rPr>
          <w:rFonts w:asciiTheme="majorHAnsi" w:hAnsiTheme="majorHAnsi" w:cs="Cambria"/>
        </w:rPr>
        <w:t>, it is submitted that the ACL should include a provision that allows the Governor-General</w:t>
      </w:r>
      <w:r w:rsidR="00BE0138" w:rsidRPr="00B44EA2">
        <w:rPr>
          <w:rFonts w:asciiTheme="majorHAnsi" w:hAnsiTheme="majorHAnsi" w:cs="Cambria"/>
        </w:rPr>
        <w:t xml:space="preserve"> to make a regulation that overrides the prohibition or overrides it in c</w:t>
      </w:r>
      <w:r w:rsidR="0091361B">
        <w:rPr>
          <w:rFonts w:asciiTheme="majorHAnsi" w:hAnsiTheme="majorHAnsi" w:cs="Cambria"/>
        </w:rPr>
        <w:t>ertain circumstances.  Similar</w:t>
      </w:r>
      <w:r w:rsidR="00BE0138" w:rsidRPr="00B44EA2">
        <w:rPr>
          <w:rFonts w:asciiTheme="majorHAnsi" w:hAnsiTheme="majorHAnsi" w:cs="Cambria"/>
        </w:rPr>
        <w:t xml:space="preserve"> to s 25(2), </w:t>
      </w:r>
      <w:r w:rsidR="00BE0138" w:rsidRPr="00B44EA2">
        <w:t>before the Governor-General makes such a regulation, the Minister must consider the broader consequences of the regulation, as set out in s 25(2</w:t>
      </w:r>
      <w:r w:rsidR="00AE24DE">
        <w:t>)</w:t>
      </w:r>
      <w:r w:rsidR="00BE0138" w:rsidRPr="00B44EA2">
        <w:t>.</w:t>
      </w:r>
    </w:p>
    <w:p w:rsidR="007D35E0" w:rsidRPr="00B44EA2" w:rsidRDefault="007D35E0" w:rsidP="00AE24DE">
      <w:pPr>
        <w:keepNext/>
        <w:rPr>
          <w:u w:val="single"/>
        </w:rPr>
      </w:pPr>
      <w:r w:rsidRPr="00B44EA2">
        <w:rPr>
          <w:u w:val="single"/>
        </w:rPr>
        <w:t>What prohibitions should we hav</w:t>
      </w:r>
      <w:r w:rsidR="0091361B">
        <w:rPr>
          <w:u w:val="single"/>
        </w:rPr>
        <w:t xml:space="preserve">e on terms previously declared </w:t>
      </w:r>
      <w:r w:rsidRPr="00B44EA2">
        <w:rPr>
          <w:u w:val="single"/>
        </w:rPr>
        <w:t>unfair by a court?</w:t>
      </w:r>
    </w:p>
    <w:p w:rsidR="007D35E0" w:rsidRPr="00B44EA2" w:rsidRDefault="007D35E0" w:rsidP="00D00677">
      <w:pPr>
        <w:pStyle w:val="CUNumber1"/>
        <w:spacing w:line="360" w:lineRule="auto"/>
        <w:rPr>
          <w:rFonts w:asciiTheme="majorHAnsi" w:hAnsiTheme="majorHAnsi" w:cs="Cambria"/>
        </w:rPr>
      </w:pPr>
      <w:r w:rsidRPr="00B44EA2">
        <w:t xml:space="preserve">If a court declares a term </w:t>
      </w:r>
      <w:r w:rsidR="00B7469B" w:rsidRPr="00B44EA2">
        <w:t xml:space="preserve">to be unfair where that term occurred </w:t>
      </w:r>
      <w:r w:rsidRPr="00B44EA2">
        <w:t>in a particular contract or group of identical contracts</w:t>
      </w:r>
      <w:r w:rsidR="00B7469B" w:rsidRPr="00B44EA2">
        <w:t xml:space="preserve"> entered into by the Respondent, </w:t>
      </w:r>
      <w:r w:rsidRPr="00B44EA2">
        <w:t xml:space="preserve">the Respondent should be prohibited from attempting to enforce </w:t>
      </w:r>
      <w:r w:rsidR="00B7469B" w:rsidRPr="00B44EA2">
        <w:rPr>
          <w:rFonts w:asciiTheme="majorHAnsi" w:hAnsiTheme="majorHAnsi" w:cs="Cambria"/>
        </w:rPr>
        <w:t xml:space="preserve">the </w:t>
      </w:r>
      <w:r w:rsidRPr="00B44EA2">
        <w:t xml:space="preserve">term in </w:t>
      </w:r>
      <w:r w:rsidRPr="00B44EA2">
        <w:rPr>
          <w:i/>
        </w:rPr>
        <w:t xml:space="preserve">those </w:t>
      </w:r>
      <w:r w:rsidR="00B7469B" w:rsidRPr="00B44EA2">
        <w:rPr>
          <w:i/>
        </w:rPr>
        <w:t xml:space="preserve">particular </w:t>
      </w:r>
      <w:r w:rsidRPr="00B44EA2">
        <w:rPr>
          <w:i/>
        </w:rPr>
        <w:t>contracts</w:t>
      </w:r>
      <w:r w:rsidRPr="00B44EA2">
        <w:t xml:space="preserve">.  </w:t>
      </w:r>
      <w:r w:rsidR="0091361B">
        <w:t>The Respondent</w:t>
      </w:r>
      <w:r w:rsidR="00B7469B" w:rsidRPr="00B44EA2">
        <w:t xml:space="preserve"> should not be prohibited from enforcing the same term (or a similar term) in different contracts.  </w:t>
      </w:r>
      <w:r w:rsidR="00F307E7" w:rsidRPr="00B44EA2">
        <w:t xml:space="preserve">If the prohibition is limited in this way, the Respondent </w:t>
      </w:r>
      <w:r w:rsidR="00B7469B" w:rsidRPr="00B44EA2">
        <w:t xml:space="preserve">will </w:t>
      </w:r>
      <w:r w:rsidR="00F307E7" w:rsidRPr="00B44EA2">
        <w:t xml:space="preserve">only be prohibited from attempting to enforce terms </w:t>
      </w:r>
      <w:r w:rsidR="00B7469B" w:rsidRPr="00B44EA2">
        <w:t>that are known to be</w:t>
      </w:r>
      <w:r w:rsidR="00F307E7" w:rsidRPr="00B44EA2">
        <w:t xml:space="preserve"> </w:t>
      </w:r>
      <w:r w:rsidRPr="00B44EA2">
        <w:rPr>
          <w:rFonts w:asciiTheme="majorHAnsi" w:hAnsiTheme="majorHAnsi" w:cs="Cambria"/>
        </w:rPr>
        <w:t xml:space="preserve">unfair.  </w:t>
      </w:r>
      <w:r w:rsidR="00F307E7" w:rsidRPr="00B44EA2">
        <w:rPr>
          <w:rFonts w:asciiTheme="majorHAnsi" w:hAnsiTheme="majorHAnsi" w:cs="Cambria"/>
        </w:rPr>
        <w:t xml:space="preserve">A court already has the power to make this </w:t>
      </w:r>
      <w:r w:rsidR="00B7469B" w:rsidRPr="00B44EA2">
        <w:rPr>
          <w:rFonts w:asciiTheme="majorHAnsi" w:hAnsiTheme="majorHAnsi" w:cs="Cambria"/>
        </w:rPr>
        <w:t xml:space="preserve">sort of </w:t>
      </w:r>
      <w:r w:rsidR="00F307E7" w:rsidRPr="00B44EA2">
        <w:rPr>
          <w:rFonts w:asciiTheme="majorHAnsi" w:hAnsiTheme="majorHAnsi" w:cs="Cambria"/>
        </w:rPr>
        <w:t>prohibition by granting an injunction under s 232 of the ACL.  Hence, no amendment to the ACL is required.</w:t>
      </w:r>
    </w:p>
    <w:p w:rsidR="007D35E0" w:rsidRPr="00B44EA2" w:rsidRDefault="007D35E0" w:rsidP="00D00677">
      <w:pPr>
        <w:pStyle w:val="CUNumber1"/>
        <w:spacing w:line="360" w:lineRule="auto"/>
      </w:pPr>
      <w:r w:rsidRPr="00B44EA2">
        <w:t xml:space="preserve">It is unnecessary for the ACL to set a penalty for </w:t>
      </w:r>
      <w:r w:rsidR="00F307E7" w:rsidRPr="00B44EA2">
        <w:t xml:space="preserve">breach of an injunction </w:t>
      </w:r>
      <w:r w:rsidR="00AE24DE">
        <w:t xml:space="preserve">granted </w:t>
      </w:r>
      <w:r w:rsidR="00F307E7" w:rsidRPr="00B44EA2">
        <w:t>under s 232 since this may already be punished as a contempt of court.</w:t>
      </w:r>
      <w:r w:rsidRPr="00B44EA2">
        <w:t xml:space="preserve"> </w:t>
      </w:r>
      <w:r w:rsidR="00F307E7" w:rsidRPr="00B44EA2">
        <w:t xml:space="preserve"> </w:t>
      </w:r>
      <w:r w:rsidR="004975D0">
        <w:t>Depending on the circumstances, a contempt of court may be punished by a fine, sequestration of property or imprisonment.</w:t>
      </w:r>
      <w:r w:rsidR="004975D0">
        <w:rPr>
          <w:rStyle w:val="FootnoteReference"/>
        </w:rPr>
        <w:footnoteReference w:id="20"/>
      </w:r>
      <w:r w:rsidR="004975D0">
        <w:t xml:space="preserve">  </w:t>
      </w:r>
      <w:r w:rsidR="00F307E7" w:rsidRPr="00B44EA2">
        <w:t>I</w:t>
      </w:r>
      <w:r w:rsidR="00D00677" w:rsidRPr="00B44EA2">
        <w:rPr>
          <w:rFonts w:asciiTheme="majorHAnsi" w:hAnsiTheme="majorHAnsi" w:cs="Cambria"/>
        </w:rPr>
        <w:t xml:space="preserve">n </w:t>
      </w:r>
      <w:r w:rsidR="00D00677" w:rsidRPr="00B44EA2">
        <w:rPr>
          <w:rFonts w:asciiTheme="majorHAnsi" w:hAnsiTheme="majorHAnsi" w:cs="Cambria"/>
          <w:bCs/>
          <w:i/>
          <w:shd w:val="clear" w:color="auto" w:fill="FFFFFF"/>
        </w:rPr>
        <w:t xml:space="preserve">ACCC v Advanced Medical Institute Pty Limited </w:t>
      </w:r>
      <w:r w:rsidR="00F307E7" w:rsidRPr="00B44EA2">
        <w:rPr>
          <w:rFonts w:asciiTheme="majorHAnsi" w:hAnsiTheme="majorHAnsi" w:cs="Cambria"/>
          <w:bCs/>
          <w:i/>
          <w:shd w:val="clear" w:color="auto" w:fill="FFFFFF"/>
        </w:rPr>
        <w:t>&amp; Ors</w:t>
      </w:r>
      <w:r w:rsidR="00D00677" w:rsidRPr="00B44EA2">
        <w:rPr>
          <w:rFonts w:asciiTheme="majorHAnsi" w:hAnsiTheme="majorHAnsi" w:cs="Cambria"/>
          <w:bCs/>
          <w:shd w:val="clear" w:color="auto" w:fill="FFFFFF"/>
        </w:rPr>
        <w:t xml:space="preserve"> (Federal Court proceeding number VID1113/2010), the ACCC successfully brought a proceeding for contempt of court.</w:t>
      </w:r>
      <w:r w:rsidR="00D00677" w:rsidRPr="00B44EA2">
        <w:rPr>
          <w:rStyle w:val="FootnoteReference"/>
          <w:rFonts w:asciiTheme="majorHAnsi" w:hAnsiTheme="majorHAnsi" w:cs="Cambria"/>
          <w:bCs/>
          <w:sz w:val="20"/>
          <w:shd w:val="clear" w:color="auto" w:fill="FFFFFF"/>
        </w:rPr>
        <w:footnoteReference w:id="21"/>
      </w:r>
      <w:r w:rsidR="00D00677" w:rsidRPr="00B44EA2">
        <w:rPr>
          <w:rFonts w:asciiTheme="majorHAnsi" w:hAnsiTheme="majorHAnsi" w:cs="Cambria"/>
          <w:bCs/>
          <w:shd w:val="clear" w:color="auto" w:fill="FFFFFF"/>
        </w:rPr>
        <w:t xml:space="preserve">  </w:t>
      </w:r>
      <w:r w:rsidR="00F307E7" w:rsidRPr="00B44EA2">
        <w:rPr>
          <w:rFonts w:asciiTheme="majorHAnsi" w:hAnsiTheme="majorHAnsi" w:cs="Cambria"/>
          <w:bCs/>
          <w:shd w:val="clear" w:color="auto" w:fill="FFFFFF"/>
        </w:rPr>
        <w:t>Although the case involved unfair contract terms, t</w:t>
      </w:r>
      <w:r w:rsidR="00D00677" w:rsidRPr="00B44EA2">
        <w:rPr>
          <w:rFonts w:asciiTheme="majorHAnsi" w:hAnsiTheme="majorHAnsi" w:cs="Cambria"/>
          <w:bCs/>
          <w:shd w:val="clear" w:color="auto" w:fill="FFFFFF"/>
        </w:rPr>
        <w:t xml:space="preserve">he proceeding for contempt did not relate to entering into a contract containing a term that had </w:t>
      </w:r>
      <w:r w:rsidR="00F307E7" w:rsidRPr="00B44EA2">
        <w:rPr>
          <w:rFonts w:asciiTheme="majorHAnsi" w:hAnsiTheme="majorHAnsi" w:cs="Cambria"/>
          <w:bCs/>
          <w:shd w:val="clear" w:color="auto" w:fill="FFFFFF"/>
        </w:rPr>
        <w:lastRenderedPageBreak/>
        <w:t xml:space="preserve">previously </w:t>
      </w:r>
      <w:r w:rsidR="00AE24DE">
        <w:rPr>
          <w:rFonts w:asciiTheme="majorHAnsi" w:hAnsiTheme="majorHAnsi" w:cs="Cambria"/>
          <w:bCs/>
          <w:shd w:val="clear" w:color="auto" w:fill="FFFFFF"/>
        </w:rPr>
        <w:t xml:space="preserve">been declared </w:t>
      </w:r>
      <w:r w:rsidR="00D00677" w:rsidRPr="00B44EA2">
        <w:rPr>
          <w:rFonts w:asciiTheme="majorHAnsi" w:hAnsiTheme="majorHAnsi" w:cs="Cambria"/>
          <w:bCs/>
          <w:shd w:val="clear" w:color="auto" w:fill="FFFFFF"/>
        </w:rPr>
        <w:t xml:space="preserve">unfair; rather, it concerned the making of representations to customers.  However, </w:t>
      </w:r>
      <w:r w:rsidR="00F307E7" w:rsidRPr="00B44EA2">
        <w:rPr>
          <w:rFonts w:asciiTheme="majorHAnsi" w:hAnsiTheme="majorHAnsi" w:cs="Cambria"/>
          <w:bCs/>
          <w:shd w:val="clear" w:color="auto" w:fill="FFFFFF"/>
        </w:rPr>
        <w:t xml:space="preserve">there is no reason why </w:t>
      </w:r>
      <w:r w:rsidR="00B7469B" w:rsidRPr="00B44EA2">
        <w:rPr>
          <w:rFonts w:asciiTheme="majorHAnsi" w:hAnsiTheme="majorHAnsi" w:cs="Cambria"/>
          <w:bCs/>
          <w:shd w:val="clear" w:color="auto" w:fill="FFFFFF"/>
        </w:rPr>
        <w:t>a proceeding for contempt</w:t>
      </w:r>
      <w:r w:rsidR="0091361B">
        <w:rPr>
          <w:rFonts w:asciiTheme="majorHAnsi" w:hAnsiTheme="majorHAnsi" w:cs="Cambria"/>
          <w:bCs/>
          <w:shd w:val="clear" w:color="auto" w:fill="FFFFFF"/>
        </w:rPr>
        <w:t xml:space="preserve"> of court</w:t>
      </w:r>
      <w:r w:rsidR="00B7469B" w:rsidRPr="00B44EA2">
        <w:rPr>
          <w:rFonts w:asciiTheme="majorHAnsi" w:hAnsiTheme="majorHAnsi" w:cs="Cambria"/>
          <w:bCs/>
          <w:shd w:val="clear" w:color="auto" w:fill="FFFFFF"/>
        </w:rPr>
        <w:t xml:space="preserve"> cannot </w:t>
      </w:r>
      <w:r w:rsidR="0091361B">
        <w:rPr>
          <w:rFonts w:asciiTheme="majorHAnsi" w:hAnsiTheme="majorHAnsi" w:cs="Cambria"/>
          <w:bCs/>
          <w:shd w:val="clear" w:color="auto" w:fill="FFFFFF"/>
        </w:rPr>
        <w:t xml:space="preserve">be brought for breach of </w:t>
      </w:r>
      <w:r w:rsidR="00D00677" w:rsidRPr="00B44EA2">
        <w:rPr>
          <w:rFonts w:asciiTheme="majorHAnsi" w:hAnsiTheme="majorHAnsi" w:cs="Cambria"/>
          <w:bCs/>
          <w:shd w:val="clear" w:color="auto" w:fill="FFFFFF"/>
        </w:rPr>
        <w:t xml:space="preserve">an order restraining a person from </w:t>
      </w:r>
      <w:r w:rsidR="0091361B">
        <w:rPr>
          <w:rFonts w:asciiTheme="majorHAnsi" w:hAnsiTheme="majorHAnsi" w:cs="Cambria"/>
          <w:bCs/>
          <w:shd w:val="clear" w:color="auto" w:fill="FFFFFF"/>
        </w:rPr>
        <w:t xml:space="preserve">enforcing an </w:t>
      </w:r>
      <w:r w:rsidR="00D00677" w:rsidRPr="00B44EA2">
        <w:rPr>
          <w:rFonts w:asciiTheme="majorHAnsi" w:hAnsiTheme="majorHAnsi" w:cs="Cambria"/>
          <w:bCs/>
          <w:shd w:val="clear" w:color="auto" w:fill="FFFFFF"/>
        </w:rPr>
        <w:t xml:space="preserve">unfair term. </w:t>
      </w:r>
      <w:r w:rsidR="00F307E7" w:rsidRPr="00B44EA2">
        <w:rPr>
          <w:rFonts w:asciiTheme="majorHAnsi" w:hAnsiTheme="majorHAnsi" w:cs="Cambria"/>
          <w:bCs/>
          <w:shd w:val="clear" w:color="auto" w:fill="FFFFFF"/>
        </w:rPr>
        <w:t xml:space="preserve"> </w:t>
      </w:r>
    </w:p>
    <w:p w:rsidR="00B90C92" w:rsidRPr="00B44EA2" w:rsidRDefault="00B90C92" w:rsidP="00B90B17">
      <w:pPr>
        <w:keepNext/>
        <w:rPr>
          <w:b/>
        </w:rPr>
      </w:pPr>
      <w:r w:rsidRPr="00B44EA2">
        <w:rPr>
          <w:b/>
        </w:rPr>
        <w:t xml:space="preserve">Question 45:  </w:t>
      </w:r>
      <w:r w:rsidRPr="00B90B17">
        <w:rPr>
          <w:b/>
          <w:i/>
        </w:rPr>
        <w:t xml:space="preserve">Would empowering ACL regulators to compel evidence from a business to investigate whether a term is unfair be </w:t>
      </w:r>
      <w:r w:rsidR="00AE24DE" w:rsidRPr="00B90B17">
        <w:rPr>
          <w:b/>
          <w:i/>
        </w:rPr>
        <w:t xml:space="preserve">an </w:t>
      </w:r>
      <w:r w:rsidRPr="00B90B17">
        <w:rPr>
          <w:b/>
          <w:i/>
        </w:rPr>
        <w:t>appropriate enforcement tool?  If so, what should be the scope of this power?</w:t>
      </w:r>
    </w:p>
    <w:p w:rsidR="00884E87" w:rsidRPr="00B44EA2" w:rsidRDefault="00884E87" w:rsidP="00B90B17">
      <w:pPr>
        <w:keepNext/>
        <w:rPr>
          <w:b/>
        </w:rPr>
      </w:pPr>
      <w:r w:rsidRPr="00B44EA2">
        <w:rPr>
          <w:b/>
        </w:rPr>
        <w:t xml:space="preserve">Question 46:  </w:t>
      </w:r>
      <w:r w:rsidRPr="00B90B17">
        <w:rPr>
          <w:b/>
          <w:i/>
        </w:rPr>
        <w:t>Are there any unintended consequences, challenges or risks that need to be considered?</w:t>
      </w:r>
    </w:p>
    <w:tbl>
      <w:tblPr>
        <w:tblStyle w:val="TableGrid"/>
        <w:tblW w:w="0" w:type="auto"/>
        <w:tblLook w:val="04A0" w:firstRow="1" w:lastRow="0" w:firstColumn="1" w:lastColumn="0" w:noHBand="0" w:noVBand="1"/>
      </w:tblPr>
      <w:tblGrid>
        <w:gridCol w:w="9570"/>
      </w:tblGrid>
      <w:tr w:rsidR="00884E87" w:rsidRPr="00B44EA2" w:rsidTr="00AE24DE">
        <w:tc>
          <w:tcPr>
            <w:tcW w:w="9570" w:type="dxa"/>
            <w:shd w:val="pct10" w:color="auto" w:fill="auto"/>
          </w:tcPr>
          <w:p w:rsidR="00884E87" w:rsidRPr="00B44EA2" w:rsidRDefault="00884E87" w:rsidP="00AE24DE">
            <w:pPr>
              <w:rPr>
                <w:b/>
              </w:rPr>
            </w:pPr>
            <w:r w:rsidRPr="00B44EA2">
              <w:rPr>
                <w:b/>
              </w:rPr>
              <w:t>Summary of submission</w:t>
            </w:r>
          </w:p>
          <w:p w:rsidR="00884E87" w:rsidRDefault="008B3A73" w:rsidP="00CF7AA2">
            <w:pPr>
              <w:pStyle w:val="ListParagraph"/>
              <w:numPr>
                <w:ilvl w:val="0"/>
                <w:numId w:val="23"/>
              </w:numPr>
            </w:pPr>
            <w:r>
              <w:t>ACL regulators should be given</w:t>
            </w:r>
            <w:r w:rsidR="007B5ED2">
              <w:t xml:space="preserve"> </w:t>
            </w:r>
            <w:r w:rsidR="007B5ED2">
              <w:rPr>
                <w:i/>
              </w:rPr>
              <w:t xml:space="preserve">limited </w:t>
            </w:r>
            <w:r w:rsidR="007B5ED2">
              <w:t xml:space="preserve">compulsory information-gathering powers </w:t>
            </w:r>
            <w:r w:rsidR="0091361B">
              <w:t>to enforce</w:t>
            </w:r>
            <w:r w:rsidR="007B5ED2">
              <w:t xml:space="preserve"> the UCT provisions.</w:t>
            </w:r>
          </w:p>
          <w:p w:rsidR="007B5ED2" w:rsidRDefault="007B5ED2" w:rsidP="00CF7AA2">
            <w:pPr>
              <w:pStyle w:val="ListParagraph"/>
              <w:numPr>
                <w:ilvl w:val="0"/>
                <w:numId w:val="23"/>
              </w:numPr>
            </w:pPr>
            <w:r>
              <w:t>The powers should be limited to</w:t>
            </w:r>
            <w:r w:rsidR="008B3A73">
              <w:t xml:space="preserve"> investigating the second element of the test for unfairness, being that the term is not reasonably necessary in order to protect the legitimate interests of the party who would be advantaged by the term</w:t>
            </w:r>
            <w:r>
              <w:t>.</w:t>
            </w:r>
          </w:p>
          <w:p w:rsidR="008B3A73" w:rsidRDefault="007B5ED2" w:rsidP="00CF7AA2">
            <w:pPr>
              <w:pStyle w:val="ListParagraph"/>
              <w:numPr>
                <w:ilvl w:val="0"/>
                <w:numId w:val="23"/>
              </w:numPr>
            </w:pPr>
            <w:r>
              <w:t xml:space="preserve">If ACL regulators are given compulsory information-gathering powers to investigate the second element, </w:t>
            </w:r>
            <w:r w:rsidR="008B3A73">
              <w:t>the onus for proving th</w:t>
            </w:r>
            <w:r w:rsidR="0091361B">
              <w:t>e</w:t>
            </w:r>
            <w:r w:rsidR="008B3A73">
              <w:t xml:space="preserve"> </w:t>
            </w:r>
            <w:r>
              <w:t>second element should be</w:t>
            </w:r>
            <w:r w:rsidR="008B3A73">
              <w:t xml:space="preserve"> on the regulator</w:t>
            </w:r>
            <w:r>
              <w:t xml:space="preserve"> and not the respo</w:t>
            </w:r>
            <w:r w:rsidR="0091361B">
              <w:t>n</w:t>
            </w:r>
            <w:r>
              <w:t>dent</w:t>
            </w:r>
            <w:r w:rsidR="008B3A73">
              <w:t>.</w:t>
            </w:r>
          </w:p>
          <w:p w:rsidR="008B3A73" w:rsidRPr="00B44EA2" w:rsidRDefault="008B3A73" w:rsidP="0091361B">
            <w:pPr>
              <w:pStyle w:val="ListParagraph"/>
              <w:numPr>
                <w:ilvl w:val="0"/>
                <w:numId w:val="23"/>
              </w:numPr>
            </w:pPr>
            <w:r>
              <w:t>Even if ACL regulators are not given compulsory information-gathering powers</w:t>
            </w:r>
            <w:r w:rsidR="00AE24DE">
              <w:t xml:space="preserve"> for investigating </w:t>
            </w:r>
            <w:r w:rsidR="007B5ED2">
              <w:t>the second element</w:t>
            </w:r>
            <w:r>
              <w:t>, they should bear the onus for proving the second element.</w:t>
            </w:r>
          </w:p>
        </w:tc>
      </w:tr>
    </w:tbl>
    <w:p w:rsidR="00884E87" w:rsidRPr="00B44EA2" w:rsidRDefault="00884E87" w:rsidP="00884E87">
      <w:pPr>
        <w:pStyle w:val="CUNumber1"/>
        <w:numPr>
          <w:ilvl w:val="0"/>
          <w:numId w:val="0"/>
        </w:numPr>
        <w:ind w:left="964"/>
      </w:pPr>
    </w:p>
    <w:p w:rsidR="007B5ED2" w:rsidRDefault="007B5ED2" w:rsidP="008B3A73">
      <w:pPr>
        <w:pStyle w:val="CUNumber1"/>
        <w:spacing w:line="360" w:lineRule="auto"/>
      </w:pPr>
      <w:r>
        <w:t>Compulsory information-gathering powers assist ACL regulators in enforcing the ACL.  Against this</w:t>
      </w:r>
      <w:r w:rsidR="0091361B">
        <w:t xml:space="preserve"> benefit, we must</w:t>
      </w:r>
      <w:r>
        <w:t xml:space="preserve"> </w:t>
      </w:r>
      <w:r w:rsidR="0091361B">
        <w:t>consider</w:t>
      </w:r>
      <w:r>
        <w:t xml:space="preserve"> the cost and inconvenience to business of investigation</w:t>
      </w:r>
      <w:r w:rsidR="0091361B">
        <w:t>s</w:t>
      </w:r>
      <w:r>
        <w:t xml:space="preserve"> and whether ACL regulators need these powers to enforce all parts of the ACL.  It is submitted that ACL regulators only need these powers to investigate the second element of the test for unfair</w:t>
      </w:r>
      <w:r w:rsidR="0091361B">
        <w:t>ness</w:t>
      </w:r>
      <w:r>
        <w:t xml:space="preserve"> in the UCT provisions</w:t>
      </w:r>
      <w:r w:rsidR="00C92E39">
        <w:t>.  Since the</w:t>
      </w:r>
      <w:r w:rsidR="0091361B">
        <w:t>se</w:t>
      </w:r>
      <w:r w:rsidR="00C92E39">
        <w:t xml:space="preserve"> powers are unnecessary </w:t>
      </w:r>
      <w:r w:rsidR="0091361B">
        <w:t xml:space="preserve">to obtain evidence to prove </w:t>
      </w:r>
      <w:r w:rsidR="00C92E39">
        <w:t xml:space="preserve">the other elements of </w:t>
      </w:r>
      <w:r w:rsidR="0091361B">
        <w:t>the test for unfairness</w:t>
      </w:r>
      <w:r w:rsidR="00C92E39">
        <w:t>, they would be an unwarranted cost and inconvenience to business.</w:t>
      </w:r>
    </w:p>
    <w:p w:rsidR="004F1A72" w:rsidRDefault="0091361B" w:rsidP="008B3A73">
      <w:pPr>
        <w:pStyle w:val="CUNumber1"/>
        <w:spacing w:line="360" w:lineRule="auto"/>
      </w:pPr>
      <w:r>
        <w:t>A term is unfair</w:t>
      </w:r>
      <w:r w:rsidR="000E35F1">
        <w:t xml:space="preserve"> if</w:t>
      </w:r>
      <w:r w:rsidR="004F1A72">
        <w:t>:</w:t>
      </w:r>
    </w:p>
    <w:p w:rsidR="00527F97" w:rsidRDefault="00527F97" w:rsidP="008B3A73">
      <w:pPr>
        <w:pStyle w:val="CUNumber3"/>
        <w:spacing w:line="360" w:lineRule="auto"/>
      </w:pPr>
      <w:r>
        <w:t xml:space="preserve">the term would </w:t>
      </w:r>
      <w:r w:rsidR="004F1A72">
        <w:t>cause a significant imbalance in the parties' rights and obligations</w:t>
      </w:r>
      <w:r>
        <w:t xml:space="preserve"> arising under the contract;</w:t>
      </w:r>
    </w:p>
    <w:p w:rsidR="00527F97" w:rsidRDefault="0091361B" w:rsidP="008B3A73">
      <w:pPr>
        <w:pStyle w:val="CUNumber3"/>
        <w:spacing w:line="360" w:lineRule="auto"/>
      </w:pPr>
      <w:r>
        <w:t>the term</w:t>
      </w:r>
      <w:r w:rsidR="004F1A72">
        <w:t xml:space="preserve"> is not reasonably necessary in order to protect the legitimate interests of the party who would be advantaged by the term; and</w:t>
      </w:r>
    </w:p>
    <w:p w:rsidR="004F1A72" w:rsidRDefault="0091361B" w:rsidP="008B3A73">
      <w:pPr>
        <w:pStyle w:val="CUNumber3"/>
        <w:spacing w:line="360" w:lineRule="auto"/>
      </w:pPr>
      <w:r>
        <w:t>them</w:t>
      </w:r>
      <w:r w:rsidR="004F1A72">
        <w:t xml:space="preserve"> would cause detriment (whether financial or otherwise) to a party if it were to be applied or relied on.</w:t>
      </w:r>
    </w:p>
    <w:p w:rsidR="002F3346" w:rsidRDefault="000E35F1" w:rsidP="008B3A73">
      <w:pPr>
        <w:pStyle w:val="CUNumber1"/>
        <w:spacing w:line="360" w:lineRule="auto"/>
      </w:pPr>
      <w:r>
        <w:t>To establish the</w:t>
      </w:r>
      <w:r w:rsidR="00527F97">
        <w:t xml:space="preserve"> first element</w:t>
      </w:r>
      <w:r w:rsidR="0091361B">
        <w:t xml:space="preserve"> of unfairness</w:t>
      </w:r>
      <w:r>
        <w:t>, a</w:t>
      </w:r>
      <w:r w:rsidR="008B3A73">
        <w:t>n ACL</w:t>
      </w:r>
      <w:r>
        <w:t xml:space="preserve"> regulator simply needs a copy of the contract.  To establish the</w:t>
      </w:r>
      <w:r w:rsidR="00527F97">
        <w:t xml:space="preserve"> </w:t>
      </w:r>
      <w:r>
        <w:t>third</w:t>
      </w:r>
      <w:r w:rsidR="00527F97">
        <w:t xml:space="preserve"> element</w:t>
      </w:r>
      <w:r>
        <w:t xml:space="preserve">, </w:t>
      </w:r>
      <w:r w:rsidR="008B3A73">
        <w:t>it</w:t>
      </w:r>
      <w:r>
        <w:t xml:space="preserve"> simply needs evidence</w:t>
      </w:r>
      <w:r w:rsidR="00527F97">
        <w:t xml:space="preserve"> from </w:t>
      </w:r>
      <w:r>
        <w:t>a</w:t>
      </w:r>
      <w:r w:rsidR="00527F97">
        <w:t xml:space="preserve"> victim of the </w:t>
      </w:r>
      <w:r w:rsidR="0091361B">
        <w:t>impugned</w:t>
      </w:r>
      <w:r w:rsidR="00527F97">
        <w:t xml:space="preserve"> term.</w:t>
      </w:r>
      <w:r>
        <w:t xml:space="preserve">  A</w:t>
      </w:r>
      <w:r w:rsidR="008B3A73">
        <w:t>n ACL</w:t>
      </w:r>
      <w:r>
        <w:t xml:space="preserve"> regulator does not need anything from a </w:t>
      </w:r>
      <w:r w:rsidR="002F3346">
        <w:t xml:space="preserve">prospective </w:t>
      </w:r>
      <w:r>
        <w:t xml:space="preserve">respondent to establish either of these </w:t>
      </w:r>
      <w:r w:rsidR="008B3A73">
        <w:t>elements</w:t>
      </w:r>
      <w:r>
        <w:t xml:space="preserve">.  </w:t>
      </w:r>
    </w:p>
    <w:p w:rsidR="00C92E39" w:rsidRDefault="008B3A73" w:rsidP="00C92E39">
      <w:pPr>
        <w:pStyle w:val="CUNumber1"/>
        <w:spacing w:line="360" w:lineRule="auto"/>
      </w:pPr>
      <w:bookmarkStart w:id="11" w:name="_Ref467229678"/>
      <w:r>
        <w:t>In</w:t>
      </w:r>
      <w:r w:rsidR="00B90B17">
        <w:t xml:space="preserve">formation, which is necessary to prove </w:t>
      </w:r>
      <w:r>
        <w:t>the second element, will not be readily available to an ACL regulator</w:t>
      </w:r>
      <w:r w:rsidR="00C92E39">
        <w:t xml:space="preserve">.  This is because </w:t>
      </w:r>
      <w:r w:rsidR="00B90B17">
        <w:t>the information</w:t>
      </w:r>
      <w:r w:rsidR="00C92E39">
        <w:t xml:space="preserve"> will largely be in the possession of a prospective respondent.  For this reason, compulsory information-gathering powers should be granted to ACL regulators in relation to the UCT provisions but:</w:t>
      </w:r>
    </w:p>
    <w:p w:rsidR="00C92E39" w:rsidRDefault="00C92E39" w:rsidP="00C92E39">
      <w:pPr>
        <w:pStyle w:val="CUNumber3"/>
        <w:spacing w:line="360" w:lineRule="auto"/>
      </w:pPr>
      <w:r>
        <w:lastRenderedPageBreak/>
        <w:t>the powers should be restricted to investigating whether a term is re</w:t>
      </w:r>
      <w:r w:rsidR="00B90B17">
        <w:t xml:space="preserve">asonably necessary to protect the </w:t>
      </w:r>
      <w:r>
        <w:t>legitimate interest</w:t>
      </w:r>
      <w:r w:rsidR="00B90B17">
        <w:t>s</w:t>
      </w:r>
      <w:r>
        <w:t xml:space="preserve"> of a prospective respondent; and</w:t>
      </w:r>
    </w:p>
    <w:p w:rsidR="00C92E39" w:rsidRDefault="00C92E39" w:rsidP="00C92E39">
      <w:pPr>
        <w:pStyle w:val="CUNumber3"/>
        <w:spacing w:line="360" w:lineRule="auto"/>
      </w:pPr>
      <w:r>
        <w:t>the regulator (not the respondent) should bear the onus of establishing that the term is not reasonably necessary to protect the legitimate interests of the respondent.</w:t>
      </w:r>
    </w:p>
    <w:p w:rsidR="00C92E39" w:rsidRDefault="00C92E39" w:rsidP="00C92E39">
      <w:pPr>
        <w:pStyle w:val="CUNumber1"/>
        <w:spacing w:line="360" w:lineRule="auto"/>
      </w:pPr>
      <w:bookmarkStart w:id="12" w:name="_Ref467304283"/>
      <w:r>
        <w:t>Currently, the onus if on the respondent to prove that a term is reasonably necessary to protect a legitimate business interest.  There are two justifications for this.</w:t>
      </w:r>
      <w:bookmarkEnd w:id="12"/>
      <w:r>
        <w:t xml:space="preserve"> </w:t>
      </w:r>
    </w:p>
    <w:p w:rsidR="00C92E39" w:rsidRDefault="00C92E39" w:rsidP="00C92E39">
      <w:pPr>
        <w:pStyle w:val="CUNumber3"/>
        <w:spacing w:line="360" w:lineRule="auto"/>
      </w:pPr>
      <w:r>
        <w:t>First, consumers and small businesses are unlikely to know the legitimate interests of a prospective respondent.</w:t>
      </w:r>
    </w:p>
    <w:p w:rsidR="00C92E39" w:rsidRDefault="00C92E39" w:rsidP="00C92E39">
      <w:pPr>
        <w:pStyle w:val="CUNumber3"/>
        <w:spacing w:line="360" w:lineRule="auto"/>
      </w:pPr>
      <w:r>
        <w:t>Second, consumers and small businesses are unlikely to have the resources and expertise to use preliminary discovery procedures</w:t>
      </w:r>
      <w:r w:rsidR="00B90B17">
        <w:t>, which are</w:t>
      </w:r>
      <w:r>
        <w:t xml:space="preserve"> available from the courts</w:t>
      </w:r>
      <w:r w:rsidR="00B90B17">
        <w:t>,</w:t>
      </w:r>
      <w:r>
        <w:t xml:space="preserve"> to obtain information from a prospective respondent about their legitimate interests.</w:t>
      </w:r>
    </w:p>
    <w:p w:rsidR="00C92E39" w:rsidRDefault="00C92E39" w:rsidP="00C92E39">
      <w:pPr>
        <w:pStyle w:val="CUNumber1"/>
        <w:spacing w:line="360" w:lineRule="auto"/>
      </w:pPr>
      <w:r>
        <w:t>Neith</w:t>
      </w:r>
      <w:r w:rsidR="00B90B17">
        <w:t>er of these justifications applies</w:t>
      </w:r>
      <w:r>
        <w:t xml:space="preserve"> to an ACL regulator, particularly a regulator </w:t>
      </w:r>
      <w:r w:rsidR="00B90B17">
        <w:t>that has compulsory information-</w:t>
      </w:r>
      <w:r>
        <w:t xml:space="preserve">gathering powers.  For this reason, the onus should definitely be placed on the ACL regulator to prove that a term is not reasonably necessary to protect a legitimate interest of the respondent.  </w:t>
      </w:r>
    </w:p>
    <w:p w:rsidR="00C92E39" w:rsidRDefault="00C92E39" w:rsidP="00C92E39">
      <w:pPr>
        <w:pStyle w:val="CUNumber1"/>
        <w:spacing w:line="360" w:lineRule="auto"/>
      </w:pPr>
      <w:r>
        <w:t xml:space="preserve">Even if an ACL regulator is not given the compulsory information-gathering powers described above, they should still bear the onus of establishing a term is not reasonably necessary to protect a legitimate interest of the respondent.  Neither of the justifications for placing the onus on the respondent, which are referred to in paragraph </w:t>
      </w:r>
      <w:r>
        <w:fldChar w:fldCharType="begin"/>
      </w:r>
      <w:r>
        <w:instrText xml:space="preserve"> REF _Ref467304283 \r \h </w:instrText>
      </w:r>
      <w:r>
        <w:fldChar w:fldCharType="separate"/>
      </w:r>
      <w:r w:rsidR="00086F9C">
        <w:t>49</w:t>
      </w:r>
      <w:r>
        <w:fldChar w:fldCharType="end"/>
      </w:r>
      <w:r>
        <w:t xml:space="preserve"> above, applies to an ACL regulator.  In this regard, it is worth noting the following.</w:t>
      </w:r>
    </w:p>
    <w:p w:rsidR="008245CB" w:rsidRDefault="00AE24DE" w:rsidP="00C92E39">
      <w:pPr>
        <w:pStyle w:val="CUNumber3"/>
        <w:spacing w:line="360" w:lineRule="auto"/>
      </w:pPr>
      <w:bookmarkStart w:id="13" w:name="_Ref467229645"/>
      <w:bookmarkEnd w:id="11"/>
      <w:r>
        <w:t xml:space="preserve">ACL </w:t>
      </w:r>
      <w:r w:rsidR="008245CB">
        <w:t>regulator</w:t>
      </w:r>
      <w:r w:rsidR="005570D7">
        <w:t xml:space="preserve">s </w:t>
      </w:r>
      <w:r w:rsidR="00B90B17">
        <w:t>often</w:t>
      </w:r>
      <w:r w:rsidR="00C92E39">
        <w:t xml:space="preserve"> </w:t>
      </w:r>
      <w:r w:rsidR="005570D7">
        <w:t>carry out inquiries into industries</w:t>
      </w:r>
      <w:r w:rsidR="00C92E39">
        <w:t xml:space="preserve">.  </w:t>
      </w:r>
      <w:r w:rsidR="008245CB">
        <w:t xml:space="preserve">For example, </w:t>
      </w:r>
      <w:r w:rsidR="002F3346">
        <w:t xml:space="preserve">the ACCC is currently carrying out an inquiry into the Australian dairy industry, a market study of the cattle and beef sector, a market study of the communications sector and </w:t>
      </w:r>
      <w:r>
        <w:t xml:space="preserve">a market study of </w:t>
      </w:r>
      <w:r w:rsidR="002F3346">
        <w:t>the new car retailing industry.</w:t>
      </w:r>
      <w:bookmarkEnd w:id="13"/>
      <w:r w:rsidR="002F3346">
        <w:t xml:space="preserve">  </w:t>
      </w:r>
      <w:r w:rsidR="00C92E39">
        <w:t xml:space="preserve">Due to these inquiries, </w:t>
      </w:r>
      <w:r w:rsidR="00B90B17">
        <w:t>ACL regulators</w:t>
      </w:r>
      <w:r w:rsidR="00C92E39">
        <w:t xml:space="preserve"> are likely to know about the legitimate interests of bu</w:t>
      </w:r>
      <w:r w:rsidR="00B90B17">
        <w:t>sinesses and</w:t>
      </w:r>
      <w:r w:rsidR="00C92E39">
        <w:t xml:space="preserve"> how they are protected.  This is not the case for a consumer or small business.</w:t>
      </w:r>
    </w:p>
    <w:p w:rsidR="00C92E39" w:rsidRDefault="00C92E39" w:rsidP="00C92E39">
      <w:pPr>
        <w:pStyle w:val="CUNumber3"/>
        <w:spacing w:line="360" w:lineRule="auto"/>
      </w:pPr>
      <w:bookmarkStart w:id="14" w:name="_Ref467229648"/>
      <w:r>
        <w:t xml:space="preserve">An ACL regulator is a sophisticated organisation.  It is capable of using the preliminary discovery processes contained in rule 7.23 of the </w:t>
      </w:r>
      <w:r w:rsidRPr="00DA4BC6">
        <w:rPr>
          <w:i/>
        </w:rPr>
        <w:t>Federal Court</w:t>
      </w:r>
      <w:r>
        <w:rPr>
          <w:i/>
        </w:rPr>
        <w:t xml:space="preserve"> Rules 2011</w:t>
      </w:r>
      <w:r>
        <w:t>.  This is unlikely to be the case for a consumer or small business.  Rule 7.23</w:t>
      </w:r>
      <w:r w:rsidRPr="00DA4BC6">
        <w:t xml:space="preserve"> allows a prospective applicant to apply to the Federal Court for an order that a prospective respondent produce documents which would assist the prospective applicant to decide whether it has a claim.</w:t>
      </w:r>
      <w:r>
        <w:t xml:space="preserve">  </w:t>
      </w:r>
    </w:p>
    <w:p w:rsidR="002F3346" w:rsidRDefault="00C92E39" w:rsidP="008B3A73">
      <w:pPr>
        <w:pStyle w:val="CUNumber3"/>
        <w:spacing w:line="360" w:lineRule="auto"/>
      </w:pPr>
      <w:r>
        <w:t>A</w:t>
      </w:r>
      <w:r w:rsidR="00B90B17">
        <w:t>n ACL</w:t>
      </w:r>
      <w:r w:rsidR="008245CB">
        <w:t xml:space="preserve"> regulator is able to </w:t>
      </w:r>
      <w:r w:rsidR="002F3346">
        <w:t xml:space="preserve">obtain information on a voluntary basis due to the gravitas it has.  For example, the ACCC carried out an industry review in 2013 concerning unfair </w:t>
      </w:r>
      <w:r w:rsidR="002F3346">
        <w:lastRenderedPageBreak/>
        <w:t>terms in consumer contracts and a further review in 2016 for terms in small business contracts.</w:t>
      </w:r>
      <w:r w:rsidR="002F3346">
        <w:rPr>
          <w:rStyle w:val="FootnoteReference"/>
        </w:rPr>
        <w:footnoteReference w:id="22"/>
      </w:r>
      <w:bookmarkEnd w:id="14"/>
      <w:r>
        <w:t xml:space="preserve">  This is not the case for a consumer or small business.</w:t>
      </w:r>
    </w:p>
    <w:p w:rsidR="00990C30" w:rsidRDefault="00C92E39" w:rsidP="008B3A73">
      <w:pPr>
        <w:pStyle w:val="CUNumber1"/>
        <w:spacing w:line="360" w:lineRule="auto"/>
      </w:pPr>
      <w:r>
        <w:t>Earlier in this submission,</w:t>
      </w:r>
      <w:r w:rsidR="00B90B17">
        <w:t xml:space="preserve"> I suggested that the test for </w:t>
      </w:r>
      <w:r>
        <w:t>unfair</w:t>
      </w:r>
      <w:r w:rsidR="00B90B17">
        <w:t>ness</w:t>
      </w:r>
      <w:r>
        <w:t xml:space="preserve"> be expanded to </w:t>
      </w:r>
      <w:r w:rsidR="00FA66E0">
        <w:t xml:space="preserve">include a requirement that the impugned term lack transparency.  An ACL regulator does not need compulsory information-gathering powers to establish that element because the necessary information will be apparent from the face of the contract or readily available to the victim of the impugned term.  For example, the victim will know whether the </w:t>
      </w:r>
      <w:r w:rsidR="00B90B17">
        <w:t xml:space="preserve">impugned </w:t>
      </w:r>
      <w:r w:rsidR="00FA66E0">
        <w:t>term was readily available to them prior to entering into the contract.</w:t>
      </w:r>
    </w:p>
    <w:p w:rsidR="00724655" w:rsidRPr="00B44EA2" w:rsidRDefault="00724655" w:rsidP="005C7C87">
      <w:pPr>
        <w:rPr>
          <w:b/>
          <w:i/>
        </w:rPr>
      </w:pPr>
      <w:r w:rsidRPr="00B44EA2">
        <w:rPr>
          <w:b/>
        </w:rPr>
        <w:t xml:space="preserve">Question 47: </w:t>
      </w:r>
      <w:r w:rsidR="00D4506F">
        <w:rPr>
          <w:b/>
          <w:i/>
        </w:rPr>
        <w:t>Should the “</w:t>
      </w:r>
      <w:r w:rsidRPr="00B90B17">
        <w:rPr>
          <w:b/>
          <w:i/>
        </w:rPr>
        <w:t>grey list</w:t>
      </w:r>
      <w:r w:rsidR="00D4506F">
        <w:rPr>
          <w:b/>
          <w:i/>
        </w:rPr>
        <w:t>”</w:t>
      </w:r>
      <w:r w:rsidRPr="00B90B17">
        <w:rPr>
          <w:b/>
          <w:i/>
        </w:rPr>
        <w:t xml:space="preserve"> of examples of unfair contract terms be expanded?</w:t>
      </w:r>
    </w:p>
    <w:tbl>
      <w:tblPr>
        <w:tblStyle w:val="TableGrid"/>
        <w:tblW w:w="0" w:type="auto"/>
        <w:tblLook w:val="04A0" w:firstRow="1" w:lastRow="0" w:firstColumn="1" w:lastColumn="0" w:noHBand="0" w:noVBand="1"/>
      </w:tblPr>
      <w:tblGrid>
        <w:gridCol w:w="9570"/>
      </w:tblGrid>
      <w:tr w:rsidR="00162582" w:rsidRPr="00B44EA2" w:rsidTr="00AE24DE">
        <w:tc>
          <w:tcPr>
            <w:tcW w:w="9570" w:type="dxa"/>
            <w:shd w:val="pct10" w:color="auto" w:fill="auto"/>
          </w:tcPr>
          <w:p w:rsidR="00162582" w:rsidRPr="00B44EA2" w:rsidRDefault="00162582" w:rsidP="00AE24DE">
            <w:pPr>
              <w:rPr>
                <w:b/>
              </w:rPr>
            </w:pPr>
            <w:r w:rsidRPr="00B44EA2">
              <w:rPr>
                <w:b/>
              </w:rPr>
              <w:t>Summary of submission</w:t>
            </w:r>
          </w:p>
          <w:p w:rsidR="00162582" w:rsidRPr="00B44EA2" w:rsidRDefault="00B90B17" w:rsidP="00CF7AA2">
            <w:pPr>
              <w:pStyle w:val="ListParagraph"/>
              <w:numPr>
                <w:ilvl w:val="0"/>
                <w:numId w:val="23"/>
              </w:numPr>
            </w:pPr>
            <w:r>
              <w:t>T</w:t>
            </w:r>
            <w:r w:rsidR="00162582" w:rsidRPr="00B44EA2">
              <w:t xml:space="preserve">he “grey list” </w:t>
            </w:r>
            <w:r>
              <w:t xml:space="preserve">should </w:t>
            </w:r>
            <w:r w:rsidR="00D4506F">
              <w:t xml:space="preserve">not be expanded.  Instead, it should </w:t>
            </w:r>
            <w:r>
              <w:t>be removed</w:t>
            </w:r>
            <w:r w:rsidR="00162582" w:rsidRPr="00B44EA2">
              <w:t>.</w:t>
            </w:r>
          </w:p>
          <w:p w:rsidR="00162582" w:rsidRPr="00B44EA2" w:rsidRDefault="00162582" w:rsidP="00B90B17">
            <w:pPr>
              <w:pStyle w:val="ListParagraph"/>
              <w:numPr>
                <w:ilvl w:val="0"/>
                <w:numId w:val="23"/>
              </w:numPr>
            </w:pPr>
            <w:r w:rsidRPr="00B44EA2">
              <w:t xml:space="preserve">Instead of </w:t>
            </w:r>
            <w:r w:rsidR="00B90B17">
              <w:t>the “grey list”</w:t>
            </w:r>
            <w:r w:rsidRPr="00B44EA2">
              <w:t xml:space="preserve">, </w:t>
            </w:r>
            <w:r w:rsidR="005C7C87">
              <w:t xml:space="preserve">ACL </w:t>
            </w:r>
            <w:r w:rsidRPr="00B44EA2">
              <w:t xml:space="preserve">regulators should provide </w:t>
            </w:r>
            <w:r w:rsidR="00B90B17">
              <w:t xml:space="preserve">an </w:t>
            </w:r>
            <w:r w:rsidRPr="00B44EA2">
              <w:t xml:space="preserve">online </w:t>
            </w:r>
            <w:r w:rsidR="005C7C87">
              <w:t xml:space="preserve">list of terms which are not </w:t>
            </w:r>
            <w:r w:rsidRPr="00B44EA2">
              <w:t>unfair because they are required, or expressly permitted, by a law of the Commo</w:t>
            </w:r>
            <w:r w:rsidR="00B90B17">
              <w:t>nwealth, a State or a Territory.</w:t>
            </w:r>
          </w:p>
        </w:tc>
      </w:tr>
    </w:tbl>
    <w:p w:rsidR="00162582" w:rsidRPr="00B44EA2" w:rsidRDefault="00162582" w:rsidP="00162582"/>
    <w:p w:rsidR="00724655" w:rsidRPr="00B44EA2" w:rsidRDefault="00505D67" w:rsidP="00393C87">
      <w:pPr>
        <w:pStyle w:val="CUNumber1"/>
        <w:spacing w:line="360" w:lineRule="auto"/>
      </w:pPr>
      <w:r w:rsidRPr="00B44EA2">
        <w:t>It is submitted that the</w:t>
      </w:r>
      <w:r w:rsidR="00724655" w:rsidRPr="00B44EA2">
        <w:t xml:space="preserve"> </w:t>
      </w:r>
      <w:r w:rsidR="00B90B17">
        <w:t xml:space="preserve">“grey </w:t>
      </w:r>
      <w:r w:rsidR="00724655" w:rsidRPr="00B44EA2">
        <w:t>list</w:t>
      </w:r>
      <w:r w:rsidR="00B90B17">
        <w:t>”</w:t>
      </w:r>
      <w:r w:rsidR="00724655" w:rsidRPr="00B44EA2">
        <w:t xml:space="preserve"> should not be expanded; rather, the list should be </w:t>
      </w:r>
      <w:r w:rsidR="00B90B17">
        <w:t>removed</w:t>
      </w:r>
      <w:r w:rsidR="00724655" w:rsidRPr="00B44EA2">
        <w:t xml:space="preserve"> for the </w:t>
      </w:r>
      <w:r w:rsidR="00724655" w:rsidRPr="00B44EA2">
        <w:rPr>
          <w:rFonts w:asciiTheme="majorHAnsi" w:hAnsiTheme="majorHAnsi" w:cs="Cambria"/>
        </w:rPr>
        <w:t>following</w:t>
      </w:r>
      <w:r w:rsidR="00724655" w:rsidRPr="00B44EA2">
        <w:t xml:space="preserve"> reasons.</w:t>
      </w:r>
    </w:p>
    <w:p w:rsidR="00505D67" w:rsidRPr="00B44EA2" w:rsidRDefault="00724655" w:rsidP="00393C87">
      <w:pPr>
        <w:pStyle w:val="CUNumber1"/>
        <w:spacing w:line="360" w:lineRule="auto"/>
      </w:pPr>
      <w:r w:rsidRPr="00B44EA2">
        <w:t xml:space="preserve">First, </w:t>
      </w:r>
      <w:r w:rsidRPr="00B44EA2">
        <w:rPr>
          <w:rFonts w:asciiTheme="majorHAnsi" w:hAnsiTheme="majorHAnsi" w:cs="Cambria"/>
        </w:rPr>
        <w:t>the</w:t>
      </w:r>
      <w:r w:rsidRPr="00B44EA2">
        <w:t xml:space="preserve"> list serves no practical use because there is no presumption that any term listed in s 25 </w:t>
      </w:r>
      <w:r w:rsidR="005C7C87">
        <w:t xml:space="preserve">of the ACL </w:t>
      </w:r>
      <w:r w:rsidRPr="00B44EA2">
        <w:t>is unfair</w:t>
      </w:r>
      <w:r w:rsidR="005A5FF1" w:rsidRPr="00B44EA2">
        <w:t>.</w:t>
      </w:r>
      <w:r w:rsidR="005A5FF1" w:rsidRPr="00B44EA2">
        <w:rPr>
          <w:rStyle w:val="FootnoteReference"/>
          <w:sz w:val="20"/>
        </w:rPr>
        <w:footnoteReference w:id="23"/>
      </w:r>
      <w:r w:rsidRPr="00B44EA2">
        <w:t xml:space="preserve">  Each ter</w:t>
      </w:r>
      <w:r w:rsidR="00B90B17">
        <w:t xml:space="preserve">m must still pass the test for </w:t>
      </w:r>
      <w:r w:rsidRPr="00B44EA2">
        <w:t>unfair</w:t>
      </w:r>
      <w:r w:rsidR="00B90B17">
        <w:t>ness contained</w:t>
      </w:r>
      <w:r w:rsidRPr="00B44EA2">
        <w:t xml:space="preserve"> in s 24.</w:t>
      </w:r>
      <w:r w:rsidR="00505D67" w:rsidRPr="00B44EA2">
        <w:t xml:space="preserve">  </w:t>
      </w:r>
    </w:p>
    <w:p w:rsidR="009B38A2" w:rsidRPr="00B44EA2" w:rsidRDefault="00724655" w:rsidP="00393C87">
      <w:pPr>
        <w:pStyle w:val="CUNumber1"/>
        <w:spacing w:line="360" w:lineRule="auto"/>
      </w:pPr>
      <w:r w:rsidRPr="00B44EA2">
        <w:t xml:space="preserve">Second, having a list simply encourages someone to bring a claim without considering whether </w:t>
      </w:r>
      <w:r w:rsidR="00B90B17">
        <w:t>the impugned</w:t>
      </w:r>
      <w:r w:rsidRPr="00B44EA2">
        <w:t xml:space="preserve"> passes the test </w:t>
      </w:r>
      <w:r w:rsidR="00B90B17">
        <w:t xml:space="preserve">for </w:t>
      </w:r>
      <w:r w:rsidR="005C7C87">
        <w:t>unfair</w:t>
      </w:r>
      <w:r w:rsidR="00B90B17">
        <w:t>ness</w:t>
      </w:r>
      <w:r w:rsidR="005C7C87">
        <w:t xml:space="preserve"> </w:t>
      </w:r>
      <w:r w:rsidRPr="00B44EA2">
        <w:t>in s 24, whether the term is contained in a standard form contract, whether the term is contained in a "small business contract" or "consumer contract"</w:t>
      </w:r>
      <w:r w:rsidR="009B38A2" w:rsidRPr="00B44EA2">
        <w:t>,</w:t>
      </w:r>
      <w:r w:rsidRPr="00B44EA2">
        <w:t xml:space="preserve"> whether any exclusions apply to</w:t>
      </w:r>
      <w:r w:rsidR="009B38A2" w:rsidRPr="00B44EA2">
        <w:t xml:space="preserve"> the particular contract (e.g. it is a contract for the transport of goods by ship), </w:t>
      </w:r>
      <w:r w:rsidR="00B90B17">
        <w:t xml:space="preserve">and </w:t>
      </w:r>
      <w:r w:rsidR="009B38A2" w:rsidRPr="00B44EA2">
        <w:t xml:space="preserve">whether the particular term is </w:t>
      </w:r>
      <w:r w:rsidR="005C7C87">
        <w:t>exempt from the UCT</w:t>
      </w:r>
      <w:r w:rsidR="009B38A2" w:rsidRPr="00B44EA2">
        <w:t xml:space="preserve"> provisions (e.g. the term sets the "upfront </w:t>
      </w:r>
      <w:r w:rsidR="009B38A2" w:rsidRPr="00B44EA2">
        <w:rPr>
          <w:rFonts w:asciiTheme="majorHAnsi" w:hAnsiTheme="majorHAnsi" w:cs="Cambria"/>
        </w:rPr>
        <w:t>price</w:t>
      </w:r>
      <w:r w:rsidR="009B38A2" w:rsidRPr="00B44EA2">
        <w:t>").  As already mentioned, there is no presumption that a term listed in s 25 is unfair and further, the fact that a term is listed in s 25 provides no accurate indication of whether it may be unfair.  For example, s 25 lists "a term that permits, or has the effect of permitting, one party (but not another party) to vary the terms of the contract".  This term may be perfectly valid depending on what countervailing rights the party, who is not permitted to vary terms, is given</w:t>
      </w:r>
      <w:r w:rsidR="00AF1263" w:rsidRPr="00B44EA2">
        <w:t xml:space="preserve"> and how "transparent" the term is</w:t>
      </w:r>
      <w:r w:rsidR="009B38A2" w:rsidRPr="00B44EA2">
        <w:t>.</w:t>
      </w:r>
      <w:r w:rsidR="00AF1263" w:rsidRPr="00B44EA2">
        <w:t xml:space="preserve">  Also, a unilateral variation term may be specifically permitted under the </w:t>
      </w:r>
      <w:r w:rsidR="00AF1263" w:rsidRPr="00B44EA2">
        <w:rPr>
          <w:i/>
        </w:rPr>
        <w:t xml:space="preserve">National Consumer Credit Code </w:t>
      </w:r>
      <w:r w:rsidR="00AF1263" w:rsidRPr="00B44EA2">
        <w:t xml:space="preserve">in some cases.  Since there is no presumption that a term in s 25 is </w:t>
      </w:r>
      <w:r w:rsidR="00B90B17">
        <w:t>unfair</w:t>
      </w:r>
      <w:r w:rsidR="00AF1263" w:rsidRPr="00B44EA2">
        <w:t xml:space="preserve"> and the </w:t>
      </w:r>
      <w:r w:rsidR="00B90B17">
        <w:t xml:space="preserve">“grey </w:t>
      </w:r>
      <w:r w:rsidR="00AF1263" w:rsidRPr="00B44EA2">
        <w:t>list</w:t>
      </w:r>
      <w:r w:rsidR="00B90B17">
        <w:t>”</w:t>
      </w:r>
      <w:r w:rsidR="00AF1263" w:rsidRPr="00B44EA2">
        <w:t xml:space="preserve"> is not an accurate indication of whether a term </w:t>
      </w:r>
      <w:r w:rsidR="005C7C87">
        <w:t>is</w:t>
      </w:r>
      <w:r w:rsidR="00AF1263" w:rsidRPr="00B44EA2">
        <w:t xml:space="preserve"> </w:t>
      </w:r>
      <w:r w:rsidR="00B90B17">
        <w:t>unfair</w:t>
      </w:r>
      <w:r w:rsidR="00AF1263" w:rsidRPr="00B44EA2">
        <w:t>, its main purpose is to give parties an inaccurate indication of whether a term is fair or not.</w:t>
      </w:r>
    </w:p>
    <w:p w:rsidR="00497B52" w:rsidRPr="00B44EA2" w:rsidRDefault="00AF1263" w:rsidP="00393C87">
      <w:pPr>
        <w:pStyle w:val="CUNumber1"/>
        <w:spacing w:line="360" w:lineRule="auto"/>
      </w:pPr>
      <w:r w:rsidRPr="00B44EA2">
        <w:t xml:space="preserve">Third, it is inconsistent with the ACL to give examples of conduct which may be prohibited.  There are no examples of what may constitute a breach of the prohibition on misleading or deceptive conduct in </w:t>
      </w:r>
      <w:r w:rsidRPr="00B44EA2">
        <w:lastRenderedPageBreak/>
        <w:t>s 18 and no list of conduct which may amount to unconscionable conduct.</w:t>
      </w:r>
      <w:r w:rsidR="00E95BA0" w:rsidRPr="00B44EA2">
        <w:t xml:space="preserve">  This is because giving examples of what may constitute a contravention is more likely to mislead than assist.  The better approach is to list factors which a court is to consider when determining whether there is a contravention.  This approach has been adopted for unconscionable conduct (see s 22) and for the UCT provisions (see s 24(2)).  Section 24(2) of the UCT provisions currently say</w:t>
      </w:r>
      <w:r w:rsidR="00B90B17">
        <w:t xml:space="preserve">s that </w:t>
      </w:r>
      <w:r w:rsidR="00E95BA0" w:rsidRPr="00B44EA2">
        <w:t xml:space="preserve">a court may take into account such matters as it thinks relevant, but must take into account the extent to which the term is transparent and the contract as a whole.  Perhaps the list of factors in s 24(2) should be expanded if s 25 is removed.  Section 32X of the now-repealed </w:t>
      </w:r>
      <w:r w:rsidR="00E95BA0" w:rsidRPr="000B4597">
        <w:rPr>
          <w:i/>
        </w:rPr>
        <w:t xml:space="preserve">Fair Trading Act 1999 </w:t>
      </w:r>
      <w:r w:rsidR="00E95BA0" w:rsidRPr="00B44EA2">
        <w:t>(Vic) said a court may take into account</w:t>
      </w:r>
      <w:r w:rsidR="000B4597">
        <w:t xml:space="preserve"> </w:t>
      </w:r>
      <w:r w:rsidR="00E95BA0" w:rsidRPr="00B44EA2">
        <w:t xml:space="preserve">whether the term </w:t>
      </w:r>
      <w:r w:rsidR="000B4597">
        <w:t xml:space="preserve">had a certain object or effect, such as </w:t>
      </w:r>
      <w:r w:rsidR="000B4597" w:rsidRPr="00B44EA2">
        <w:t>permitting the supplier but not the consumer to vary the terms of the contract</w:t>
      </w:r>
      <w:r w:rsidR="00E95BA0" w:rsidRPr="00B44EA2">
        <w:t>.</w:t>
      </w:r>
      <w:r w:rsidR="000B4597">
        <w:t xml:space="preserve">  </w:t>
      </w:r>
      <w:r w:rsidR="00497B52" w:rsidRPr="00B44EA2">
        <w:t xml:space="preserve">Section 32X of the </w:t>
      </w:r>
      <w:r w:rsidR="00497B52" w:rsidRPr="000B4597">
        <w:rPr>
          <w:i/>
        </w:rPr>
        <w:t xml:space="preserve">Fair Trading Act 1999 </w:t>
      </w:r>
      <w:r w:rsidR="000B4597">
        <w:t>wa</w:t>
      </w:r>
      <w:r w:rsidR="00497B52" w:rsidRPr="00B44EA2">
        <w:t xml:space="preserve">s very similar to s 25 of the ACL.  Section 32X </w:t>
      </w:r>
      <w:r w:rsidR="000B4597">
        <w:t xml:space="preserve">essentially </w:t>
      </w:r>
      <w:r w:rsidR="00497B52" w:rsidRPr="00B44EA2">
        <w:t>t</w:t>
      </w:r>
      <w:r w:rsidR="000B4597">
        <w:t>ook</w:t>
      </w:r>
      <w:r w:rsidR="00497B52" w:rsidRPr="00B44EA2">
        <w:t xml:space="preserve"> the terms that are </w:t>
      </w:r>
      <w:r w:rsidR="000B4597">
        <w:t xml:space="preserve">now </w:t>
      </w:r>
      <w:r w:rsidR="00497B52" w:rsidRPr="00B44EA2">
        <w:t>given as "examples" in s 25 and sa</w:t>
      </w:r>
      <w:r w:rsidR="000B4597">
        <w:t>id</w:t>
      </w:r>
      <w:r w:rsidR="00497B52" w:rsidRPr="00B44EA2">
        <w:t xml:space="preserve"> the court may consid</w:t>
      </w:r>
      <w:r w:rsidR="000B4597">
        <w:t>er whether the impugned term had</w:t>
      </w:r>
      <w:r w:rsidR="00497B52" w:rsidRPr="00B44EA2">
        <w:t xml:space="preserve"> the object or effect of one of those "examples".  The difference </w:t>
      </w:r>
      <w:r w:rsidR="000B4597">
        <w:t xml:space="preserve">between s 32X and s 25 </w:t>
      </w:r>
      <w:r w:rsidR="00497B52" w:rsidRPr="00B44EA2">
        <w:t>is slight and really one of emphasis.  If s 25 were recast in the same format as s 32X, it is likely to create the same problem of giving parties an inaccurate i</w:t>
      </w:r>
      <w:r w:rsidR="00880ED7">
        <w:t>ndication of whether a term is un</w:t>
      </w:r>
      <w:r w:rsidR="00497B52" w:rsidRPr="00B44EA2">
        <w:t xml:space="preserve">fair.  For this reason, it is submitted that s 25 should simply be deleted with no further additions made to the ACL.  </w:t>
      </w:r>
    </w:p>
    <w:p w:rsidR="00505D67" w:rsidRPr="00B44EA2" w:rsidRDefault="00880ED7" w:rsidP="00393C87">
      <w:pPr>
        <w:pStyle w:val="CUNumber1"/>
        <w:spacing w:line="360" w:lineRule="auto"/>
      </w:pPr>
      <w:r>
        <w:t xml:space="preserve">A </w:t>
      </w:r>
      <w:r w:rsidR="00505D67" w:rsidRPr="00B44EA2">
        <w:t>preferable form of guidance would be</w:t>
      </w:r>
      <w:r>
        <w:t xml:space="preserve"> for ACL</w:t>
      </w:r>
      <w:r w:rsidR="00505D67" w:rsidRPr="00B44EA2">
        <w:t xml:space="preserve"> regulator</w:t>
      </w:r>
      <w:r>
        <w:t>s to</w:t>
      </w:r>
      <w:r w:rsidR="00505D67" w:rsidRPr="00B44EA2">
        <w:t xml:space="preserve"> provid</w:t>
      </w:r>
      <w:r>
        <w:t>e</w:t>
      </w:r>
      <w:r w:rsidR="00505D67" w:rsidRPr="00B44EA2">
        <w:t xml:space="preserve"> a list of terms that are </w:t>
      </w:r>
      <w:r w:rsidR="00505D67" w:rsidRPr="00B44EA2">
        <w:rPr>
          <w:u w:val="single"/>
        </w:rPr>
        <w:t>not</w:t>
      </w:r>
      <w:r w:rsidR="00505D67" w:rsidRPr="00B44EA2">
        <w:t xml:space="preserve"> unfair.  Section 26(1)(c) of the ACL provides that a term may not be declared void under s 23 for being unfair if the term is “</w:t>
      </w:r>
      <w:r w:rsidR="00505D67" w:rsidRPr="00B44EA2">
        <w:rPr>
          <w:color w:val="000000"/>
          <w:shd w:val="clear" w:color="auto" w:fill="FFFFFF"/>
        </w:rPr>
        <w:t xml:space="preserve">required, or expressly permitted, by a law of the Commonwealth, a State or a Territory.”  These terms are definitely </w:t>
      </w:r>
      <w:r w:rsidR="00505D67" w:rsidRPr="00B44EA2">
        <w:rPr>
          <w:color w:val="000000"/>
          <w:u w:val="single"/>
          <w:shd w:val="clear" w:color="auto" w:fill="FFFFFF"/>
        </w:rPr>
        <w:t>not</w:t>
      </w:r>
      <w:r w:rsidR="00505D67" w:rsidRPr="00B44EA2">
        <w:rPr>
          <w:color w:val="000000"/>
          <w:shd w:val="clear" w:color="auto" w:fill="FFFFFF"/>
        </w:rPr>
        <w:t xml:space="preserve"> unfair, unlike the terms listed in s 25 which may or may not be.  It is submitted that </w:t>
      </w:r>
      <w:r>
        <w:rPr>
          <w:color w:val="000000"/>
          <w:shd w:val="clear" w:color="auto" w:fill="FFFFFF"/>
        </w:rPr>
        <w:t xml:space="preserve">ACL </w:t>
      </w:r>
      <w:r w:rsidR="00505D67" w:rsidRPr="00B44EA2">
        <w:rPr>
          <w:color w:val="000000"/>
          <w:shd w:val="clear" w:color="auto" w:fill="FFFFFF"/>
        </w:rPr>
        <w:t>regulators should maintain a list of terms that are required or expressly permitted by Commonwealth, State and Territory laws.  This list should be publicly available online and in a form that can be readily understood.  This will provide consumers and small business with a better understanding of what terms can and cannot be challenged than the list in s 25</w:t>
      </w:r>
      <w:r w:rsidR="005C7C87">
        <w:rPr>
          <w:color w:val="000000"/>
          <w:shd w:val="clear" w:color="auto" w:fill="FFFFFF"/>
        </w:rPr>
        <w:t xml:space="preserve"> of the ACL</w:t>
      </w:r>
      <w:r w:rsidR="00505D67" w:rsidRPr="00B44EA2">
        <w:rPr>
          <w:color w:val="000000"/>
          <w:shd w:val="clear" w:color="auto" w:fill="FFFFFF"/>
        </w:rPr>
        <w:t>.</w:t>
      </w:r>
      <w:r w:rsidR="005C7C87">
        <w:rPr>
          <w:color w:val="000000"/>
          <w:shd w:val="clear" w:color="auto" w:fill="FFFFFF"/>
        </w:rPr>
        <w:t xml:space="preserve">  </w:t>
      </w:r>
    </w:p>
    <w:p w:rsidR="00BE0138" w:rsidRPr="00B44EA2" w:rsidRDefault="00BE0138" w:rsidP="00BE0138">
      <w:pPr>
        <w:spacing w:line="360" w:lineRule="auto"/>
        <w:rPr>
          <w:rFonts w:asciiTheme="majorHAnsi" w:hAnsiTheme="majorHAnsi" w:cs="Cambria"/>
        </w:rPr>
      </w:pPr>
      <w:r w:rsidRPr="00B44EA2">
        <w:rPr>
          <w:rFonts w:asciiTheme="majorHAnsi" w:hAnsiTheme="majorHAnsi" w:cs="Cambria"/>
        </w:rPr>
        <w:t>Yours sincerely</w:t>
      </w:r>
    </w:p>
    <w:p w:rsidR="00BE0138" w:rsidRPr="00B44EA2" w:rsidRDefault="00BE0138" w:rsidP="00BE0138">
      <w:pPr>
        <w:spacing w:after="0"/>
        <w:rPr>
          <w:rFonts w:asciiTheme="majorHAnsi" w:hAnsiTheme="majorHAnsi" w:cs="Cambria"/>
          <w:shd w:val="clear" w:color="auto" w:fill="FFFFFF"/>
        </w:rPr>
      </w:pPr>
      <w:r w:rsidRPr="00B44EA2">
        <w:rPr>
          <w:rFonts w:asciiTheme="majorHAnsi" w:hAnsiTheme="majorHAnsi" w:cs="Cambria"/>
          <w:shd w:val="clear" w:color="auto" w:fill="FFFFFF"/>
        </w:rPr>
        <w:t>Peter Sise</w:t>
      </w:r>
    </w:p>
    <w:p w:rsidR="00DD50BA" w:rsidRPr="00B44EA2" w:rsidRDefault="00DD50BA" w:rsidP="00DD50BA"/>
    <w:sectPr w:rsidR="00DD50BA" w:rsidRPr="00B44EA2" w:rsidSect="00FD22BC">
      <w:footerReference w:type="even" r:id="rId9"/>
      <w:footerReference w:type="default" r:id="rId10"/>
      <w:footerReference w:type="first" r:id="rId11"/>
      <w:pgSz w:w="11906" w:h="16838" w:code="9"/>
      <w:pgMar w:top="1418" w:right="849" w:bottom="1134" w:left="993" w:header="107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79" w:rsidRDefault="00573079" w:rsidP="00E3422C">
      <w:pPr>
        <w:spacing w:after="0"/>
      </w:pPr>
      <w:r>
        <w:separator/>
      </w:r>
    </w:p>
  </w:endnote>
  <w:endnote w:type="continuationSeparator" w:id="0">
    <w:p w:rsidR="00573079" w:rsidRDefault="00573079"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B" w:rsidRDefault="00253E1D">
    <w:fldSimple w:instr=" DOCVARIABLE  CUFooterText \* MERGEFORMAT " w:fldLock="1">
      <w:r w:rsidR="0091361B">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B" w:rsidRDefault="0091361B">
    <w:pPr>
      <w:pStyle w:val="Footer"/>
      <w:jc w:val="center"/>
    </w:pPr>
    <w:r>
      <w:fldChar w:fldCharType="begin"/>
    </w:r>
    <w:r>
      <w:instrText xml:space="preserve"> PAGE   \* MERGEFORMAT </w:instrText>
    </w:r>
    <w:r>
      <w:fldChar w:fldCharType="separate"/>
    </w:r>
    <w:r w:rsidR="00B708E9">
      <w:rPr>
        <w:noProof/>
      </w:rPr>
      <w:t>2</w:t>
    </w:r>
    <w:r>
      <w:fldChar w:fldCharType="end"/>
    </w:r>
  </w:p>
  <w:p w:rsidR="0091361B" w:rsidRDefault="00253E1D">
    <w:pPr>
      <w:pStyle w:val="Footer"/>
    </w:pPr>
    <w:fldSimple w:instr=" DOCVARIABLE  CUFooterText \* MERGEFORMAT " w:fldLock="1">
      <w:r w:rsidR="0091361B">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1B" w:rsidRDefault="00253E1D">
    <w:fldSimple w:instr=" DOCVARIABLE  CUFooterText \* MERGEFORMAT " w:fldLock="1">
      <w:r w:rsidR="0091361B">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79" w:rsidRDefault="00573079" w:rsidP="00E3422C">
      <w:pPr>
        <w:spacing w:after="0"/>
      </w:pPr>
      <w:r>
        <w:separator/>
      </w:r>
    </w:p>
  </w:footnote>
  <w:footnote w:type="continuationSeparator" w:id="0">
    <w:p w:rsidR="00573079" w:rsidRDefault="00573079" w:rsidP="00E3422C">
      <w:pPr>
        <w:spacing w:after="0"/>
      </w:pPr>
      <w:r>
        <w:continuationSeparator/>
      </w:r>
    </w:p>
  </w:footnote>
  <w:footnote w:id="1">
    <w:p w:rsidR="0091361B" w:rsidRDefault="0091361B" w:rsidP="009007C0">
      <w:pPr>
        <w:pStyle w:val="FootnoteText"/>
        <w:spacing w:after="0"/>
        <w:rPr>
          <w:rFonts w:cs="Arial"/>
          <w:szCs w:val="18"/>
        </w:rPr>
      </w:pPr>
      <w:r>
        <w:rPr>
          <w:rFonts w:cs="Arial"/>
          <w:szCs w:val="18"/>
        </w:rPr>
        <w:t>* This submission contains the views of the author and does not contain the views of any organisation associated with the author.</w:t>
      </w:r>
    </w:p>
    <w:p w:rsidR="00000000" w:rsidRDefault="0091361B" w:rsidP="009007C0">
      <w:pPr>
        <w:pStyle w:val="FootnoteText"/>
        <w:spacing w:after="0"/>
      </w:pPr>
      <w:r w:rsidRPr="0016380E">
        <w:rPr>
          <w:rStyle w:val="FootnoteReference"/>
          <w:rFonts w:cs="Arial"/>
          <w:szCs w:val="18"/>
        </w:rPr>
        <w:footnoteRef/>
      </w:r>
      <w:r w:rsidRPr="0016380E">
        <w:rPr>
          <w:rFonts w:cs="Arial"/>
          <w:szCs w:val="18"/>
        </w:rPr>
        <w:t xml:space="preserve"> </w:t>
      </w:r>
      <w:r>
        <w:rPr>
          <w:rFonts w:cs="Arial"/>
          <w:szCs w:val="18"/>
        </w:rPr>
        <w:t xml:space="preserve">Finkelstein, Ray &amp; Hamer, David (ed), </w:t>
      </w:r>
      <w:r w:rsidRPr="0016380E">
        <w:rPr>
          <w:rFonts w:cs="Arial"/>
          <w:i/>
          <w:szCs w:val="18"/>
        </w:rPr>
        <w:t xml:space="preserve">Concise Australian Legal Dictionary </w:t>
      </w:r>
      <w:r w:rsidRPr="0016380E">
        <w:rPr>
          <w:rFonts w:cs="Arial"/>
          <w:szCs w:val="18"/>
        </w:rPr>
        <w:t>(LexisNexis</w:t>
      </w:r>
      <w:r>
        <w:rPr>
          <w:rFonts w:cs="Arial"/>
          <w:szCs w:val="18"/>
        </w:rPr>
        <w:t xml:space="preserve"> Butterworths</w:t>
      </w:r>
      <w:r w:rsidRPr="0016380E">
        <w:rPr>
          <w:rFonts w:cs="Arial"/>
          <w:szCs w:val="18"/>
        </w:rPr>
        <w:t xml:space="preserve">, 5th ed, 2015) </w:t>
      </w:r>
      <w:r>
        <w:rPr>
          <w:rFonts w:cs="Arial"/>
          <w:szCs w:val="18"/>
        </w:rPr>
        <w:t xml:space="preserve">at </w:t>
      </w:r>
      <w:r w:rsidRPr="0016380E">
        <w:rPr>
          <w:rFonts w:cs="Arial"/>
          <w:szCs w:val="18"/>
        </w:rPr>
        <w:t>592 and Lexis</w:t>
      </w:r>
      <w:r>
        <w:rPr>
          <w:rFonts w:cs="Arial"/>
          <w:szCs w:val="18"/>
        </w:rPr>
        <w:t>Nexis Australia</w:t>
      </w:r>
      <w:r w:rsidRPr="0016380E">
        <w:rPr>
          <w:rFonts w:cs="Arial"/>
          <w:szCs w:val="18"/>
        </w:rPr>
        <w:t xml:space="preserve">, </w:t>
      </w:r>
      <w:r w:rsidRPr="0016380E">
        <w:rPr>
          <w:rFonts w:cs="Arial"/>
          <w:i/>
          <w:szCs w:val="18"/>
        </w:rPr>
        <w:t>Encyclopaedic Australian Legal Dictionary</w:t>
      </w:r>
      <w:r w:rsidRPr="0016380E">
        <w:rPr>
          <w:rFonts w:cs="Arial"/>
          <w:szCs w:val="18"/>
        </w:rPr>
        <w:t xml:space="preserve"> (at January 2011). </w:t>
      </w:r>
      <w:r>
        <w:rPr>
          <w:rFonts w:cs="Arial"/>
          <w:szCs w:val="18"/>
        </w:rPr>
        <w:t xml:space="preserve"> </w:t>
      </w:r>
      <w:r w:rsidRPr="0016380E">
        <w:rPr>
          <w:rFonts w:cs="Arial"/>
          <w:szCs w:val="18"/>
        </w:rPr>
        <w:t xml:space="preserve">See also </w:t>
      </w:r>
      <w:r>
        <w:rPr>
          <w:rFonts w:cs="Arial"/>
          <w:szCs w:val="18"/>
        </w:rPr>
        <w:t xml:space="preserve">Garner, Bryan (ed), </w:t>
      </w:r>
      <w:r w:rsidRPr="0016380E">
        <w:rPr>
          <w:rFonts w:cs="Arial"/>
          <w:i/>
          <w:iCs/>
          <w:color w:val="000000"/>
          <w:szCs w:val="18"/>
        </w:rPr>
        <w:t>Black's Law Dictionary</w:t>
      </w:r>
      <w:r w:rsidRPr="0016380E">
        <w:rPr>
          <w:rFonts w:cs="Arial"/>
          <w:color w:val="000000"/>
          <w:szCs w:val="18"/>
        </w:rPr>
        <w:t xml:space="preserve"> (Thomson Reuters, 10th ed, 2014) </w:t>
      </w:r>
      <w:r>
        <w:rPr>
          <w:rFonts w:cs="Arial"/>
          <w:color w:val="000000"/>
          <w:szCs w:val="18"/>
        </w:rPr>
        <w:t xml:space="preserve">at </w:t>
      </w:r>
      <w:r w:rsidRPr="0016380E">
        <w:rPr>
          <w:rFonts w:cs="Arial"/>
          <w:color w:val="000000"/>
          <w:szCs w:val="18"/>
        </w:rPr>
        <w:t>397</w:t>
      </w:r>
      <w:r w:rsidRPr="0016380E">
        <w:rPr>
          <w:rStyle w:val="Strong"/>
          <w:rFonts w:cs="Arial"/>
          <w:color w:val="000000"/>
          <w:szCs w:val="18"/>
        </w:rPr>
        <w:t>. </w:t>
      </w:r>
    </w:p>
  </w:footnote>
  <w:footnote w:id="2">
    <w:p w:rsidR="00000000" w:rsidRDefault="0091361B" w:rsidP="009007C0">
      <w:pPr>
        <w:pStyle w:val="FootnoteText"/>
        <w:spacing w:after="0"/>
      </w:pPr>
      <w:r w:rsidRPr="0016380E">
        <w:rPr>
          <w:rStyle w:val="FootnoteReference"/>
          <w:rFonts w:cs="Arial"/>
          <w:szCs w:val="18"/>
        </w:rPr>
        <w:footnoteRef/>
      </w:r>
      <w:r w:rsidRPr="0016380E">
        <w:rPr>
          <w:rFonts w:cs="Arial"/>
          <w:szCs w:val="18"/>
        </w:rPr>
        <w:t xml:space="preserve"> Explanatory </w:t>
      </w:r>
      <w:r>
        <w:rPr>
          <w:rFonts w:cs="Arial"/>
          <w:szCs w:val="18"/>
        </w:rPr>
        <w:t>Memorandum</w:t>
      </w:r>
      <w:r w:rsidRPr="0016380E">
        <w:rPr>
          <w:rFonts w:cs="Arial"/>
          <w:color w:val="000000"/>
          <w:szCs w:val="18"/>
        </w:rPr>
        <w:t xml:space="preserve"> [5.73] (</w:t>
      </w:r>
      <w:r>
        <w:rPr>
          <w:rFonts w:cs="Arial"/>
          <w:color w:val="000000"/>
          <w:szCs w:val="18"/>
        </w:rPr>
        <w:t>emphasis</w:t>
      </w:r>
      <w:r w:rsidRPr="0016380E">
        <w:rPr>
          <w:rFonts w:cs="Arial"/>
          <w:color w:val="000000"/>
          <w:szCs w:val="18"/>
        </w:rPr>
        <w:t xml:space="preserve"> added).</w:t>
      </w:r>
    </w:p>
  </w:footnote>
  <w:footnote w:id="3">
    <w:p w:rsidR="00000000" w:rsidRDefault="0091361B" w:rsidP="009007C0">
      <w:pPr>
        <w:pStyle w:val="FootnoteText"/>
        <w:spacing w:after="0"/>
      </w:pPr>
      <w:r w:rsidRPr="0016380E">
        <w:rPr>
          <w:rStyle w:val="FootnoteReference"/>
          <w:rFonts w:cs="Arial"/>
          <w:szCs w:val="18"/>
        </w:rPr>
        <w:footnoteRef/>
      </w:r>
      <w:r w:rsidRPr="0016380E">
        <w:rPr>
          <w:rFonts w:cs="Arial"/>
          <w:szCs w:val="18"/>
        </w:rPr>
        <w:t xml:space="preserve"> [2015] FCCA 2384.  This case was addressed in detail in "A holiday cruise, a cyclone and an unfair contract term: Ferme v Kimberley Discovery Cruises Pty Ltd" </w:t>
      </w:r>
      <w:r w:rsidRPr="0016380E">
        <w:rPr>
          <w:rFonts w:cs="Arial"/>
          <w:bCs/>
          <w:szCs w:val="18"/>
        </w:rPr>
        <w:t xml:space="preserve">(2016) 32(2) </w:t>
      </w:r>
      <w:r w:rsidRPr="0016380E">
        <w:rPr>
          <w:rFonts w:cs="Arial"/>
          <w:bCs/>
          <w:i/>
          <w:szCs w:val="18"/>
        </w:rPr>
        <w:t>Competition and Consumer Law News</w:t>
      </w:r>
      <w:r w:rsidRPr="0016380E">
        <w:rPr>
          <w:rFonts w:cs="Arial"/>
          <w:bCs/>
          <w:szCs w:val="18"/>
        </w:rPr>
        <w:t xml:space="preserve"> 167.</w:t>
      </w:r>
    </w:p>
  </w:footnote>
  <w:footnote w:id="4">
    <w:p w:rsidR="00000000" w:rsidRDefault="0091361B" w:rsidP="009007C0">
      <w:pPr>
        <w:pStyle w:val="FootnoteText"/>
        <w:spacing w:after="0"/>
      </w:pPr>
      <w:r w:rsidRPr="0016380E">
        <w:rPr>
          <w:rStyle w:val="FootnoteReference"/>
          <w:rFonts w:cs="Arial"/>
          <w:szCs w:val="18"/>
        </w:rPr>
        <w:footnoteRef/>
      </w:r>
      <w:r w:rsidRPr="0016380E">
        <w:rPr>
          <w:rFonts w:cs="Arial"/>
          <w:szCs w:val="18"/>
        </w:rPr>
        <w:t xml:space="preserve"> [2015] FCCA 2384, [33]-[51].</w:t>
      </w:r>
    </w:p>
  </w:footnote>
  <w:footnote w:id="5">
    <w:p w:rsidR="00000000" w:rsidRDefault="0091361B" w:rsidP="009007C0">
      <w:pPr>
        <w:pStyle w:val="FootnoteText"/>
        <w:spacing w:after="0"/>
      </w:pPr>
      <w:r w:rsidRPr="0016380E">
        <w:rPr>
          <w:rStyle w:val="FootnoteReference"/>
          <w:rFonts w:cs="Arial"/>
          <w:szCs w:val="18"/>
        </w:rPr>
        <w:footnoteRef/>
      </w:r>
      <w:r w:rsidRPr="0016380E">
        <w:rPr>
          <w:rFonts w:cs="Arial"/>
          <w:szCs w:val="18"/>
        </w:rPr>
        <w:t xml:space="preserve"> Ibid [38] and [45]-[50].</w:t>
      </w:r>
    </w:p>
  </w:footnote>
  <w:footnote w:id="6">
    <w:p w:rsidR="00000000" w:rsidRDefault="0091361B" w:rsidP="009007C0">
      <w:pPr>
        <w:pStyle w:val="FootnoteText"/>
        <w:spacing w:after="0"/>
      </w:pPr>
      <w:r w:rsidRPr="0016380E">
        <w:rPr>
          <w:rStyle w:val="FootnoteReference"/>
          <w:rFonts w:cs="Arial"/>
          <w:szCs w:val="18"/>
        </w:rPr>
        <w:footnoteRef/>
      </w:r>
      <w:r w:rsidRPr="0016380E">
        <w:rPr>
          <w:rStyle w:val="FootnoteReference"/>
          <w:rFonts w:cs="Arial"/>
          <w:szCs w:val="18"/>
        </w:rPr>
        <w:footnoteRef/>
      </w:r>
      <w:r w:rsidRPr="0016380E">
        <w:rPr>
          <w:rFonts w:cs="Arial"/>
          <w:szCs w:val="18"/>
        </w:rPr>
        <w:t xml:space="preserve"> </w:t>
      </w:r>
      <w:r w:rsidRPr="0016380E">
        <w:rPr>
          <w:rFonts w:cs="Arial"/>
          <w:i/>
          <w:szCs w:val="18"/>
        </w:rPr>
        <w:t xml:space="preserve">Unfair Terms in Consumer Contracts Regulations 1999 </w:t>
      </w:r>
      <w:r w:rsidRPr="0016380E">
        <w:rPr>
          <w:rFonts w:cs="Arial"/>
          <w:szCs w:val="18"/>
        </w:rPr>
        <w:t>(UK), reg 5(1).</w:t>
      </w:r>
    </w:p>
  </w:footnote>
  <w:footnote w:id="7">
    <w:p w:rsidR="00000000" w:rsidRDefault="0091361B" w:rsidP="009007C0">
      <w:pPr>
        <w:pStyle w:val="FootnoteText"/>
        <w:spacing w:after="0"/>
      </w:pPr>
      <w:r>
        <w:rPr>
          <w:rStyle w:val="FootnoteReference"/>
        </w:rPr>
        <w:footnoteRef/>
      </w:r>
      <w:r>
        <w:t xml:space="preserve"> </w:t>
      </w:r>
      <w:r w:rsidRPr="00CF7AA2">
        <w:rPr>
          <w:i/>
          <w:szCs w:val="18"/>
        </w:rPr>
        <w:t xml:space="preserve">ACCC v Chrisco Hampers Australia Limited </w:t>
      </w:r>
      <w:r>
        <w:rPr>
          <w:szCs w:val="18"/>
        </w:rPr>
        <w:t>[</w:t>
      </w:r>
      <w:r w:rsidRPr="00CF7AA2">
        <w:rPr>
          <w:szCs w:val="18"/>
        </w:rPr>
        <w:t>201</w:t>
      </w:r>
      <w:r>
        <w:rPr>
          <w:szCs w:val="18"/>
        </w:rPr>
        <w:t>5</w:t>
      </w:r>
      <w:r w:rsidRPr="00CF7AA2">
        <w:rPr>
          <w:szCs w:val="18"/>
        </w:rPr>
        <w:t xml:space="preserve">] FCA </w:t>
      </w:r>
      <w:r>
        <w:rPr>
          <w:szCs w:val="18"/>
        </w:rPr>
        <w:t>1204, [75]-[78] and [89]-[90].</w:t>
      </w:r>
    </w:p>
  </w:footnote>
  <w:footnote w:id="8">
    <w:p w:rsidR="00000000" w:rsidRDefault="0091361B" w:rsidP="009007C0">
      <w:pPr>
        <w:pStyle w:val="FootnoteText"/>
        <w:spacing w:after="0"/>
      </w:pPr>
      <w:r>
        <w:rPr>
          <w:rStyle w:val="FootnoteReference"/>
        </w:rPr>
        <w:footnoteRef/>
      </w:r>
      <w:r>
        <w:t xml:space="preserve"> </w:t>
      </w:r>
      <w:r>
        <w:rPr>
          <w:i/>
        </w:rPr>
        <w:t>Consumer Rights Act 2015</w:t>
      </w:r>
      <w:r>
        <w:t xml:space="preserve"> (UK), s 64(4).</w:t>
      </w:r>
    </w:p>
  </w:footnote>
  <w:footnote w:id="9">
    <w:p w:rsidR="00000000" w:rsidRDefault="0091361B" w:rsidP="009007C0">
      <w:pPr>
        <w:pStyle w:val="FootnoteText"/>
        <w:spacing w:after="0"/>
      </w:pPr>
      <w:r>
        <w:rPr>
          <w:rStyle w:val="FootnoteReference"/>
        </w:rPr>
        <w:footnoteRef/>
      </w:r>
      <w:r>
        <w:t xml:space="preserve"> </w:t>
      </w:r>
      <w:r>
        <w:rPr>
          <w:i/>
        </w:rPr>
        <w:t>Consumer Rights Act 2015</w:t>
      </w:r>
      <w:r>
        <w:t xml:space="preserve"> (UK), s 64(5).</w:t>
      </w:r>
    </w:p>
  </w:footnote>
  <w:footnote w:id="10">
    <w:p w:rsidR="00000000" w:rsidRDefault="0091361B" w:rsidP="009007C0">
      <w:pPr>
        <w:pStyle w:val="FootnoteText"/>
        <w:spacing w:after="0"/>
      </w:pPr>
      <w:r>
        <w:rPr>
          <w:rStyle w:val="FootnoteReference"/>
        </w:rPr>
        <w:footnoteRef/>
      </w:r>
      <w:r>
        <w:t xml:space="preserve"> See paragraph 43 of my submission dated 30 April 2016.</w:t>
      </w:r>
    </w:p>
  </w:footnote>
  <w:footnote w:id="11">
    <w:p w:rsidR="00000000" w:rsidRDefault="0091361B" w:rsidP="009007C0">
      <w:pPr>
        <w:pStyle w:val="FootnoteText"/>
        <w:spacing w:after="0"/>
      </w:pPr>
      <w:r>
        <w:rPr>
          <w:rStyle w:val="FootnoteReference"/>
        </w:rPr>
        <w:footnoteRef/>
      </w:r>
      <w:r>
        <w:t xml:space="preserve"> See paragraph 43 of my submission dated 30 April 2016.</w:t>
      </w:r>
    </w:p>
  </w:footnote>
  <w:footnote w:id="12">
    <w:p w:rsidR="00000000" w:rsidRDefault="0091361B" w:rsidP="009007C0">
      <w:pPr>
        <w:pStyle w:val="FootnoteText"/>
        <w:spacing w:after="0"/>
      </w:pPr>
      <w:r w:rsidRPr="00CF7AA2">
        <w:rPr>
          <w:rStyle w:val="FootnoteReference"/>
          <w:szCs w:val="18"/>
        </w:rPr>
        <w:footnoteRef/>
      </w:r>
      <w:r w:rsidRPr="00CF7AA2">
        <w:rPr>
          <w:szCs w:val="18"/>
        </w:rPr>
        <w:t xml:space="preserve"> Section 24(2)(b) of the ACL.</w:t>
      </w:r>
    </w:p>
  </w:footnote>
  <w:footnote w:id="13">
    <w:p w:rsidR="00000000" w:rsidRDefault="0091361B" w:rsidP="009007C0">
      <w:pPr>
        <w:pStyle w:val="FootnoteText"/>
        <w:spacing w:after="0"/>
      </w:pPr>
      <w:r w:rsidRPr="00CF7AA2">
        <w:rPr>
          <w:rStyle w:val="FootnoteReference"/>
          <w:szCs w:val="18"/>
        </w:rPr>
        <w:footnoteRef/>
      </w:r>
      <w:r w:rsidRPr="00CF7AA2">
        <w:rPr>
          <w:szCs w:val="18"/>
        </w:rPr>
        <w:t xml:space="preserve"> Section 24(2)(a) of the ACL.</w:t>
      </w:r>
      <w:r>
        <w:rPr>
          <w:szCs w:val="18"/>
        </w:rPr>
        <w:t xml:space="preserve">  </w:t>
      </w:r>
    </w:p>
  </w:footnote>
  <w:footnote w:id="14">
    <w:p w:rsidR="00000000" w:rsidRDefault="0091361B" w:rsidP="009007C0">
      <w:pPr>
        <w:pStyle w:val="FootnoteText"/>
        <w:spacing w:after="0"/>
      </w:pPr>
      <w:r w:rsidRPr="00CF7AA2">
        <w:rPr>
          <w:rStyle w:val="FootnoteReference"/>
          <w:szCs w:val="18"/>
        </w:rPr>
        <w:footnoteRef/>
      </w:r>
      <w:r w:rsidRPr="00CF7AA2">
        <w:rPr>
          <w:szCs w:val="18"/>
        </w:rPr>
        <w:t xml:space="preserve"> Section 2 of the ACL, definition of “transparent”.</w:t>
      </w:r>
    </w:p>
  </w:footnote>
  <w:footnote w:id="15">
    <w:p w:rsidR="00000000" w:rsidRDefault="0091361B" w:rsidP="009007C0">
      <w:pPr>
        <w:pStyle w:val="FootnoteText"/>
        <w:spacing w:after="0"/>
      </w:pPr>
      <w:r w:rsidRPr="00CF7AA2">
        <w:rPr>
          <w:rStyle w:val="FootnoteReference"/>
          <w:szCs w:val="18"/>
        </w:rPr>
        <w:footnoteRef/>
      </w:r>
      <w:r w:rsidRPr="00CF7AA2">
        <w:rPr>
          <w:szCs w:val="18"/>
        </w:rPr>
        <w:t xml:space="preserve"> Section 24(1)(b) of the ACL.</w:t>
      </w:r>
    </w:p>
  </w:footnote>
  <w:footnote w:id="16">
    <w:p w:rsidR="00000000" w:rsidRDefault="0091361B" w:rsidP="009007C0">
      <w:pPr>
        <w:pStyle w:val="FootnoteText"/>
        <w:spacing w:after="0"/>
      </w:pPr>
      <w:r w:rsidRPr="00CF7AA2">
        <w:rPr>
          <w:rStyle w:val="FootnoteReference"/>
          <w:szCs w:val="18"/>
        </w:rPr>
        <w:footnoteRef/>
      </w:r>
      <w:r w:rsidRPr="00CF7AA2">
        <w:rPr>
          <w:szCs w:val="18"/>
        </w:rPr>
        <w:t xml:space="preserve"> Section 26(1)(c) of the ACL.</w:t>
      </w:r>
    </w:p>
  </w:footnote>
  <w:footnote w:id="17">
    <w:p w:rsidR="00000000" w:rsidRDefault="0091361B" w:rsidP="009007C0">
      <w:pPr>
        <w:pStyle w:val="FootnoteText"/>
        <w:spacing w:after="0"/>
      </w:pPr>
      <w:r w:rsidRPr="00CF7AA2">
        <w:rPr>
          <w:szCs w:val="18"/>
          <w:vertAlign w:val="superscript"/>
        </w:rPr>
        <w:footnoteRef/>
      </w:r>
      <w:r w:rsidRPr="00CF7AA2">
        <w:rPr>
          <w:szCs w:val="18"/>
        </w:rPr>
        <w:t xml:space="preserve"> See paragraph 2 of the orders made in </w:t>
      </w:r>
      <w:r w:rsidRPr="00CF7AA2">
        <w:rPr>
          <w:i/>
          <w:szCs w:val="18"/>
        </w:rPr>
        <w:t>ACCC v Chrisco Hampers Australia Limited (No 3)</w:t>
      </w:r>
      <w:r w:rsidRPr="00CF7AA2">
        <w:rPr>
          <w:szCs w:val="18"/>
        </w:rPr>
        <w:t xml:space="preserve"> [2016] FCA 206; paragraph 1 of the orders made in </w:t>
      </w:r>
      <w:r w:rsidRPr="00CF7AA2">
        <w:rPr>
          <w:i/>
          <w:szCs w:val="18"/>
        </w:rPr>
        <w:t>ACCC v CLA Trading Pty Ltd</w:t>
      </w:r>
      <w:r w:rsidRPr="00CF7AA2">
        <w:rPr>
          <w:szCs w:val="18"/>
        </w:rPr>
        <w:t xml:space="preserve"> [2016] FCA 377; paragraph 6 of the orders made in </w:t>
      </w:r>
      <w:r w:rsidRPr="00CF7AA2">
        <w:rPr>
          <w:i/>
          <w:szCs w:val="18"/>
        </w:rPr>
        <w:t>ACCC v ACN 117 372 915 Pty Limited (in liq) (formerly Advanced Medical Institute Pty Limited)</w:t>
      </w:r>
      <w:r w:rsidRPr="00CF7AA2">
        <w:rPr>
          <w:szCs w:val="18"/>
        </w:rPr>
        <w:t xml:space="preserve"> [2015] FCA 368; </w:t>
      </w:r>
      <w:r>
        <w:rPr>
          <w:szCs w:val="18"/>
        </w:rPr>
        <w:t xml:space="preserve">and </w:t>
      </w:r>
      <w:r w:rsidRPr="00CF7AA2">
        <w:rPr>
          <w:szCs w:val="18"/>
        </w:rPr>
        <w:t xml:space="preserve">orders made in </w:t>
      </w:r>
      <w:r w:rsidRPr="00CF7AA2">
        <w:rPr>
          <w:i/>
          <w:szCs w:val="18"/>
        </w:rPr>
        <w:t xml:space="preserve">ACCC v Bytecard Pty Limited </w:t>
      </w:r>
      <w:r w:rsidRPr="00CF7AA2">
        <w:rPr>
          <w:szCs w:val="18"/>
        </w:rPr>
        <w:t xml:space="preserve">(Federal Court proceeding number </w:t>
      </w:r>
      <w:r w:rsidRPr="00CF7AA2">
        <w:rPr>
          <w:noProof/>
          <w:szCs w:val="18"/>
        </w:rPr>
        <w:t>VID301/2013).</w:t>
      </w:r>
    </w:p>
  </w:footnote>
  <w:footnote w:id="18">
    <w:p w:rsidR="00000000" w:rsidRDefault="0091361B" w:rsidP="009007C0">
      <w:pPr>
        <w:pStyle w:val="FootnoteText"/>
        <w:spacing w:after="0"/>
      </w:pPr>
      <w:r w:rsidRPr="00CF7AA2">
        <w:rPr>
          <w:rStyle w:val="FootnoteReference"/>
          <w:szCs w:val="18"/>
        </w:rPr>
        <w:footnoteRef/>
      </w:r>
      <w:r w:rsidRPr="00CF7AA2">
        <w:rPr>
          <w:szCs w:val="18"/>
        </w:rPr>
        <w:t xml:space="preserve"> See clause 6 of schedule 2 of the Bill.</w:t>
      </w:r>
    </w:p>
  </w:footnote>
  <w:footnote w:id="19">
    <w:p w:rsidR="00000000" w:rsidRDefault="0091361B" w:rsidP="009007C0">
      <w:pPr>
        <w:pStyle w:val="FootnoteText"/>
        <w:spacing w:after="0"/>
      </w:pPr>
      <w:r w:rsidRPr="00CF7AA2">
        <w:rPr>
          <w:rStyle w:val="FootnoteReference"/>
          <w:szCs w:val="18"/>
        </w:rPr>
        <w:footnoteRef/>
      </w:r>
      <w:r w:rsidRPr="00CF7AA2">
        <w:rPr>
          <w:szCs w:val="18"/>
        </w:rPr>
        <w:t xml:space="preserve"> Section 25(2) of the ACL.</w:t>
      </w:r>
    </w:p>
  </w:footnote>
  <w:footnote w:id="20">
    <w:p w:rsidR="00000000" w:rsidRDefault="0091361B" w:rsidP="009007C0">
      <w:pPr>
        <w:pStyle w:val="FootnoteText"/>
        <w:spacing w:after="0"/>
      </w:pPr>
      <w:r>
        <w:rPr>
          <w:rStyle w:val="FootnoteReference"/>
        </w:rPr>
        <w:footnoteRef/>
      </w:r>
      <w:r>
        <w:t xml:space="preserve"> </w:t>
      </w:r>
      <w:r w:rsidRPr="004975D0">
        <w:rPr>
          <w:i/>
        </w:rPr>
        <w:t>ACCC v Contact Plus Group Pty Ltd (in liq) (No</w:t>
      </w:r>
      <w:r w:rsidRPr="004975D0">
        <w:t xml:space="preserve"> 2) [2006] FCA 695, [55].</w:t>
      </w:r>
    </w:p>
  </w:footnote>
  <w:footnote w:id="21">
    <w:p w:rsidR="00000000" w:rsidRDefault="0091361B" w:rsidP="009007C0">
      <w:pPr>
        <w:pStyle w:val="FootnoteText"/>
        <w:spacing w:after="0"/>
      </w:pPr>
      <w:r>
        <w:rPr>
          <w:rStyle w:val="FootnoteReference"/>
        </w:rPr>
        <w:footnoteRef/>
      </w:r>
      <w:r>
        <w:t xml:space="preserve"> See orders made on 24 November 2015.</w:t>
      </w:r>
    </w:p>
  </w:footnote>
  <w:footnote w:id="22">
    <w:p w:rsidR="00000000" w:rsidRDefault="0091361B" w:rsidP="009007C0">
      <w:pPr>
        <w:pStyle w:val="FootnoteText"/>
        <w:spacing w:after="0"/>
      </w:pPr>
      <w:r>
        <w:rPr>
          <w:rStyle w:val="FootnoteReference"/>
        </w:rPr>
        <w:footnoteRef/>
      </w:r>
      <w:r>
        <w:t xml:space="preserve"> See </w:t>
      </w:r>
      <w:r w:rsidRPr="00DA4BC6">
        <w:t>'Unfair terms in small business contracts: a review of selected industries</w:t>
      </w:r>
      <w:r>
        <w:t xml:space="preserve">' (released on 10 November 2016) and </w:t>
      </w:r>
      <w:r w:rsidRPr="00DA4BC6">
        <w:t>'Unfair contract terms: industry review outcomes'</w:t>
      </w:r>
      <w:r>
        <w:t xml:space="preserve"> (released on 14 March 2013).</w:t>
      </w:r>
    </w:p>
  </w:footnote>
  <w:footnote w:id="23">
    <w:p w:rsidR="00000000" w:rsidRDefault="0091361B" w:rsidP="009007C0">
      <w:pPr>
        <w:pStyle w:val="FootnoteText"/>
        <w:spacing w:after="0"/>
      </w:pPr>
      <w:r w:rsidRPr="00CF7AA2">
        <w:rPr>
          <w:rStyle w:val="FootnoteReference"/>
          <w:szCs w:val="18"/>
        </w:rPr>
        <w:footnoteRef/>
      </w:r>
      <w:r w:rsidRPr="00CF7AA2">
        <w:rPr>
          <w:szCs w:val="18"/>
        </w:rPr>
        <w:t xml:space="preserve"> </w:t>
      </w:r>
      <w:r w:rsidRPr="00CF7AA2">
        <w:rPr>
          <w:i/>
          <w:szCs w:val="18"/>
        </w:rPr>
        <w:t xml:space="preserve">ACCC v Chrisco Hampers Australia Limited </w:t>
      </w:r>
      <w:r w:rsidRPr="00CF7AA2">
        <w:rPr>
          <w:szCs w:val="18"/>
        </w:rPr>
        <w:t>[2015] FCA 1204,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4A2236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CE1210B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C860B142"/>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7B6EDF8"/>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EB4C5ED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A433C7"/>
    <w:multiLevelType w:val="hybridMultilevel"/>
    <w:tmpl w:val="0F242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1500B94"/>
    <w:multiLevelType w:val="multilevel"/>
    <w:tmpl w:val="35B24AE4"/>
    <w:styleLink w:val="CUNumber"/>
    <w:lvl w:ilvl="0">
      <w:start w:val="1"/>
      <w:numFmt w:val="decimal"/>
      <w:lvlText w:val="%1."/>
      <w:lvlJc w:val="left"/>
      <w:pPr>
        <w:tabs>
          <w:tab w:val="num" w:pos="964"/>
        </w:tabs>
        <w:ind w:left="964" w:hanging="964"/>
      </w:pPr>
      <w:rPr>
        <w:rFonts w:cs="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cs="Times New Roman" w:hint="default"/>
        <w:b w:val="0"/>
        <w:i w:val="0"/>
        <w:sz w:val="20"/>
        <w:u w:val="none"/>
      </w:rPr>
    </w:lvl>
    <w:lvl w:ilvl="2">
      <w:start w:val="1"/>
      <w:numFmt w:val="lowerLetter"/>
      <w:lvlText w:val="(%3)"/>
      <w:lvlJc w:val="left"/>
      <w:pPr>
        <w:tabs>
          <w:tab w:val="num" w:pos="1928"/>
        </w:tabs>
        <w:ind w:left="1928" w:hanging="964"/>
      </w:pPr>
      <w:rPr>
        <w:rFonts w:ascii="Arial" w:hAnsi="Arial" w:cs="Times New Roman" w:hint="default"/>
        <w:b w:val="0"/>
        <w:i w:val="0"/>
        <w:sz w:val="20"/>
        <w:u w:val="none"/>
      </w:rPr>
    </w:lvl>
    <w:lvl w:ilvl="3">
      <w:start w:val="1"/>
      <w:numFmt w:val="lowerRoman"/>
      <w:lvlText w:val="(%4)"/>
      <w:lvlJc w:val="left"/>
      <w:pPr>
        <w:tabs>
          <w:tab w:val="num" w:pos="2891"/>
        </w:tabs>
        <w:ind w:left="2891" w:hanging="963"/>
      </w:pPr>
      <w:rPr>
        <w:rFonts w:ascii="Arial" w:hAnsi="Arial" w:cs="Times New Roman" w:hint="default"/>
        <w:b w:val="0"/>
        <w:i w:val="0"/>
        <w:sz w:val="20"/>
        <w:u w:val="none"/>
      </w:rPr>
    </w:lvl>
    <w:lvl w:ilvl="4">
      <w:start w:val="1"/>
      <w:numFmt w:val="upperLetter"/>
      <w:lvlText w:val="%5."/>
      <w:lvlJc w:val="left"/>
      <w:pPr>
        <w:tabs>
          <w:tab w:val="num" w:pos="3855"/>
        </w:tabs>
        <w:ind w:left="3855" w:hanging="964"/>
      </w:pPr>
      <w:rPr>
        <w:rFonts w:ascii="Arial" w:hAnsi="Arial" w:cs="Times New Roman" w:hint="default"/>
        <w:b w:val="0"/>
        <w:i w:val="0"/>
        <w:sz w:val="20"/>
        <w:u w:val="none"/>
      </w:rPr>
    </w:lvl>
    <w:lvl w:ilvl="5">
      <w:start w:val="1"/>
      <w:numFmt w:val="decimal"/>
      <w:lvlText w:val="%6)"/>
      <w:lvlJc w:val="left"/>
      <w:pPr>
        <w:tabs>
          <w:tab w:val="num" w:pos="4819"/>
        </w:tabs>
        <w:ind w:left="4819" w:hanging="964"/>
      </w:pPr>
      <w:rPr>
        <w:rFonts w:ascii="Arial" w:hAnsi="Arial" w:cs="Times New Roman" w:hint="default"/>
        <w:b w:val="0"/>
        <w:i w:val="0"/>
        <w:sz w:val="20"/>
        <w:u w:val="none"/>
      </w:rPr>
    </w:lvl>
    <w:lvl w:ilvl="6">
      <w:start w:val="1"/>
      <w:numFmt w:val="lowerLetter"/>
      <w:lvlText w:val="%7)"/>
      <w:lvlJc w:val="left"/>
      <w:pPr>
        <w:tabs>
          <w:tab w:val="num" w:pos="5783"/>
        </w:tabs>
        <w:ind w:left="5783" w:hanging="964"/>
      </w:pPr>
      <w:rPr>
        <w:rFonts w:ascii="Arial" w:hAnsi="Arial" w:cs="Times New Roman" w:hint="default"/>
        <w:b w:val="0"/>
        <w:i w:val="0"/>
        <w:sz w:val="20"/>
        <w:u w:val="none"/>
      </w:rPr>
    </w:lvl>
    <w:lvl w:ilvl="7">
      <w:start w:val="1"/>
      <w:numFmt w:val="lowerRoman"/>
      <w:lvlText w:val="%8)"/>
      <w:lvlJc w:val="left"/>
      <w:pPr>
        <w:tabs>
          <w:tab w:val="num" w:pos="6746"/>
        </w:tabs>
        <w:ind w:left="6746" w:hanging="963"/>
      </w:pPr>
      <w:rPr>
        <w:rFonts w:ascii="Arial" w:hAnsi="Arial" w:cs="Times New Roman" w:hint="default"/>
        <w:b w:val="0"/>
        <w:i w:val="0"/>
        <w:sz w:val="20"/>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7">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nsid w:val="352D4D84"/>
    <w:multiLevelType w:val="multilevel"/>
    <w:tmpl w:val="26DC3372"/>
    <w:styleLink w:val="CUSchedule"/>
    <w:lvl w:ilvl="0">
      <w:start w:val="1"/>
      <w:numFmt w:val="decimal"/>
      <w:suff w:val="space"/>
      <w:lvlText w:val="Schedule %1"/>
      <w:lvlJc w:val="left"/>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9">
    <w:nsid w:val="3B9F0EE5"/>
    <w:multiLevelType w:val="multilevel"/>
    <w:tmpl w:val="959E5978"/>
    <w:numStyleLink w:val="CUDefinitions"/>
  </w:abstractNum>
  <w:abstractNum w:abstractNumId="10">
    <w:nsid w:val="3C9157C0"/>
    <w:multiLevelType w:val="multilevel"/>
    <w:tmpl w:val="9FD8B506"/>
    <w:styleLink w:val="CUIndent"/>
    <w:lvl w:ilvl="0">
      <w:start w:val="1"/>
      <w:numFmt w:val="none"/>
      <w:lvlText w:val="%1"/>
      <w:lvlJc w:val="left"/>
      <w:pPr>
        <w:tabs>
          <w:tab w:val="num" w:pos="964"/>
        </w:tabs>
        <w:ind w:left="964"/>
      </w:pPr>
      <w:rPr>
        <w:rFonts w:cs="Times New Roman" w:hint="default"/>
      </w:rPr>
    </w:lvl>
    <w:lvl w:ilvl="1">
      <w:start w:val="1"/>
      <w:numFmt w:val="none"/>
      <w:lvlText w:val="%2"/>
      <w:lvlJc w:val="left"/>
      <w:pPr>
        <w:tabs>
          <w:tab w:val="num" w:pos="1928"/>
        </w:tabs>
        <w:ind w:left="1928"/>
      </w:pPr>
      <w:rPr>
        <w:rFonts w:cs="Times New Roman" w:hint="default"/>
      </w:rPr>
    </w:lvl>
    <w:lvl w:ilvl="2">
      <w:start w:val="1"/>
      <w:numFmt w:val="none"/>
      <w:lvlText w:val=""/>
      <w:lvlJc w:val="left"/>
      <w:pPr>
        <w:tabs>
          <w:tab w:val="num" w:pos="2892"/>
        </w:tabs>
        <w:ind w:left="2892"/>
      </w:pPr>
      <w:rPr>
        <w:rFonts w:cs="Times New Roman" w:hint="default"/>
      </w:rPr>
    </w:lvl>
    <w:lvl w:ilvl="3">
      <w:start w:val="1"/>
      <w:numFmt w:val="none"/>
      <w:lvlText w:val=""/>
      <w:lvlJc w:val="left"/>
      <w:pPr>
        <w:tabs>
          <w:tab w:val="num" w:pos="3856"/>
        </w:tabs>
        <w:ind w:left="3856"/>
      </w:pPr>
      <w:rPr>
        <w:rFonts w:cs="Times New Roman" w:hint="default"/>
      </w:rPr>
    </w:lvl>
    <w:lvl w:ilvl="4">
      <w:start w:val="1"/>
      <w:numFmt w:val="none"/>
      <w:lvlText w:val=""/>
      <w:lvlJc w:val="left"/>
      <w:pPr>
        <w:tabs>
          <w:tab w:val="num" w:pos="4820"/>
        </w:tabs>
        <w:ind w:left="4820"/>
      </w:pPr>
      <w:rPr>
        <w:rFonts w:cs="Times New Roman" w:hint="default"/>
      </w:rPr>
    </w:lvl>
    <w:lvl w:ilvl="5">
      <w:start w:val="1"/>
      <w:numFmt w:val="none"/>
      <w:lvlText w:val=""/>
      <w:lvlJc w:val="left"/>
      <w:pPr>
        <w:tabs>
          <w:tab w:val="num" w:pos="5783"/>
        </w:tabs>
        <w:ind w:left="5783"/>
      </w:pPr>
      <w:rPr>
        <w:rFonts w:cs="Times New Roman" w:hint="default"/>
      </w:rPr>
    </w:lvl>
    <w:lvl w:ilvl="6">
      <w:start w:val="1"/>
      <w:numFmt w:val="none"/>
      <w:lvlText w:val=""/>
      <w:lvlJc w:val="left"/>
      <w:pPr>
        <w:tabs>
          <w:tab w:val="num" w:pos="964"/>
        </w:tabs>
        <w:ind w:left="964"/>
      </w:pPr>
      <w:rPr>
        <w:rFonts w:cs="Times New Roman" w:hint="default"/>
      </w:rPr>
    </w:lvl>
    <w:lvl w:ilvl="7">
      <w:start w:val="1"/>
      <w:numFmt w:val="none"/>
      <w:lvlText w:val=""/>
      <w:lvlJc w:val="left"/>
      <w:pPr>
        <w:tabs>
          <w:tab w:val="num" w:pos="964"/>
        </w:tabs>
        <w:ind w:left="964"/>
      </w:pPr>
      <w:rPr>
        <w:rFonts w:cs="Times New Roman" w:hint="default"/>
      </w:rPr>
    </w:lvl>
    <w:lvl w:ilvl="8">
      <w:start w:val="1"/>
      <w:numFmt w:val="none"/>
      <w:lvlText w:val=""/>
      <w:lvlJc w:val="left"/>
      <w:pPr>
        <w:tabs>
          <w:tab w:val="num" w:pos="964"/>
        </w:tabs>
        <w:ind w:left="964"/>
      </w:pPr>
      <w:rPr>
        <w:rFonts w:cs="Times New Roman" w:hint="default"/>
      </w:rPr>
    </w:lvl>
  </w:abstractNum>
  <w:abstractNum w:abstractNumId="11">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cs="Times New Roman" w:hint="default"/>
        <w:b w:val="0"/>
        <w:i w:val="0"/>
        <w:sz w:val="20"/>
      </w:rPr>
    </w:lvl>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2">
    <w:nsid w:val="4A6E11E5"/>
    <w:multiLevelType w:val="multilevel"/>
    <w:tmpl w:val="B2002F32"/>
    <w:styleLink w:val="CUHeading"/>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1.%2"/>
      <w:lvlJc w:val="left"/>
      <w:pPr>
        <w:tabs>
          <w:tab w:val="num" w:pos="964"/>
        </w:tabs>
        <w:ind w:left="964" w:hanging="964"/>
      </w:pPr>
      <w:rPr>
        <w:rFonts w:ascii="Arial" w:hAnsi="Arial" w:cs="Times New Roman" w:hint="default"/>
        <w:b/>
        <w:i w:val="0"/>
        <w:sz w:val="24"/>
        <w:u w:val="none"/>
      </w:rPr>
    </w:lvl>
    <w:lvl w:ilvl="2">
      <w:start w:val="1"/>
      <w:numFmt w:val="lowerLetter"/>
      <w:lvlText w:val="(%3)"/>
      <w:lvlJc w:val="left"/>
      <w:pPr>
        <w:tabs>
          <w:tab w:val="num" w:pos="1928"/>
        </w:tabs>
        <w:ind w:left="1928" w:hanging="964"/>
      </w:pPr>
      <w:rPr>
        <w:rFonts w:ascii="Arial" w:hAnsi="Arial" w:cs="Times New Roman" w:hint="default"/>
        <w:b w:val="0"/>
        <w:i w:val="0"/>
        <w:sz w:val="20"/>
        <w:u w:val="none"/>
      </w:rPr>
    </w:lvl>
    <w:lvl w:ilvl="3">
      <w:start w:val="1"/>
      <w:numFmt w:val="lowerRoman"/>
      <w:lvlText w:val="(%4)"/>
      <w:lvlJc w:val="left"/>
      <w:pPr>
        <w:tabs>
          <w:tab w:val="num" w:pos="2892"/>
        </w:tabs>
        <w:ind w:left="2892" w:hanging="964"/>
      </w:pPr>
      <w:rPr>
        <w:rFonts w:ascii="Arial" w:hAnsi="Arial" w:cs="Times New Roman" w:hint="default"/>
        <w:b w:val="0"/>
        <w:i w:val="0"/>
        <w:sz w:val="20"/>
        <w:u w:val="none"/>
      </w:rPr>
    </w:lvl>
    <w:lvl w:ilvl="4">
      <w:start w:val="1"/>
      <w:numFmt w:val="upperLetter"/>
      <w:lvlText w:val="%5."/>
      <w:lvlJc w:val="left"/>
      <w:pPr>
        <w:tabs>
          <w:tab w:val="num" w:pos="3856"/>
        </w:tabs>
        <w:ind w:left="3856" w:hanging="964"/>
      </w:pPr>
      <w:rPr>
        <w:rFonts w:ascii="Arial" w:hAnsi="Arial" w:cs="Times New Roman" w:hint="default"/>
        <w:b w:val="0"/>
        <w:i w:val="0"/>
        <w:sz w:val="20"/>
        <w:u w:val="none"/>
      </w:rPr>
    </w:lvl>
    <w:lvl w:ilvl="5">
      <w:start w:val="1"/>
      <w:numFmt w:val="decimal"/>
      <w:lvlText w:val="%6)"/>
      <w:lvlJc w:val="left"/>
      <w:pPr>
        <w:tabs>
          <w:tab w:val="num" w:pos="4820"/>
        </w:tabs>
        <w:ind w:left="4820" w:hanging="964"/>
      </w:pPr>
      <w:rPr>
        <w:rFonts w:ascii="Arial" w:hAnsi="Arial" w:cs="Times New Roman" w:hint="default"/>
        <w:b w:val="0"/>
        <w:i w:val="0"/>
        <w:sz w:val="20"/>
        <w:u w:val="none"/>
      </w:rPr>
    </w:lvl>
    <w:lvl w:ilvl="6">
      <w:start w:val="1"/>
      <w:numFmt w:val="lowerLetter"/>
      <w:lvlText w:val="%7)"/>
      <w:lvlJc w:val="left"/>
      <w:pPr>
        <w:tabs>
          <w:tab w:val="num" w:pos="5783"/>
        </w:tabs>
        <w:ind w:left="5783" w:hanging="963"/>
      </w:pPr>
      <w:rPr>
        <w:rFonts w:ascii="Arial" w:hAnsi="Arial" w:cs="Times New Roman" w:hint="default"/>
        <w:b w:val="0"/>
        <w:i w:val="0"/>
        <w:sz w:val="20"/>
        <w:u w:val="none"/>
      </w:rPr>
    </w:lvl>
    <w:lvl w:ilvl="7">
      <w:start w:val="1"/>
      <w:numFmt w:val="lowerRoman"/>
      <w:lvlText w:val="%8)"/>
      <w:lvlJc w:val="left"/>
      <w:pPr>
        <w:tabs>
          <w:tab w:val="num" w:pos="6747"/>
        </w:tabs>
        <w:ind w:left="6747" w:hanging="964"/>
      </w:pPr>
      <w:rPr>
        <w:rFonts w:ascii="Arial" w:hAnsi="Arial" w:cs="Times New Roman" w:hint="default"/>
        <w:b w:val="0"/>
        <w:i w:val="0"/>
        <w:sz w:val="20"/>
        <w:u w:val="none"/>
      </w:rPr>
    </w:lvl>
    <w:lvl w:ilvl="8">
      <w:start w:val="1"/>
      <w:numFmt w:val="none"/>
      <w:lvlRestart w:val="0"/>
      <w:suff w:val="nothing"/>
      <w:lvlText w:val=""/>
      <w:lvlJc w:val="left"/>
      <w:rPr>
        <w:rFonts w:cs="Times New Roman" w:hint="default"/>
      </w:rPr>
    </w:lvl>
  </w:abstractNum>
  <w:abstractNum w:abstractNumId="13">
    <w:nsid w:val="4ECF2678"/>
    <w:multiLevelType w:val="multilevel"/>
    <w:tmpl w:val="959E5978"/>
    <w:styleLink w:val="CUDefinitions"/>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cs="Times New Roman" w:hint="default"/>
        <w:b w:val="0"/>
        <w:i w:val="0"/>
        <w:sz w:val="22"/>
        <w:szCs w:val="22"/>
        <w:u w:val="none"/>
      </w:rPr>
    </w:lvl>
    <w:lvl w:ilvl="2">
      <w:start w:val="1"/>
      <w:numFmt w:val="lowerRoman"/>
      <w:lvlText w:val="(%3)"/>
      <w:lvlJc w:val="left"/>
      <w:pPr>
        <w:tabs>
          <w:tab w:val="num" w:pos="2892"/>
        </w:tabs>
        <w:ind w:left="2892" w:hanging="964"/>
      </w:pPr>
      <w:rPr>
        <w:rFonts w:ascii="Arial" w:hAnsi="Arial" w:cs="Times New Roman" w:hint="default"/>
        <w:b w:val="0"/>
        <w:i w:val="0"/>
        <w:sz w:val="20"/>
        <w:u w:val="none"/>
      </w:rPr>
    </w:lvl>
    <w:lvl w:ilvl="3">
      <w:start w:val="1"/>
      <w:numFmt w:val="upperLetter"/>
      <w:lvlText w:val="%4."/>
      <w:lvlJc w:val="left"/>
      <w:pPr>
        <w:tabs>
          <w:tab w:val="num" w:pos="3856"/>
        </w:tabs>
        <w:ind w:left="3856" w:hanging="964"/>
      </w:pPr>
      <w:rPr>
        <w:rFonts w:ascii="Arial" w:hAnsi="Arial" w:cs="Times New Roman" w:hint="default"/>
        <w:b w:val="0"/>
        <w:i w:val="0"/>
        <w:sz w:val="20"/>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4">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16">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688D26AD"/>
    <w:multiLevelType w:val="multilevel"/>
    <w:tmpl w:val="35B24AE4"/>
    <w:numStyleLink w:val="CUNumber"/>
  </w:abstractNum>
  <w:abstractNum w:abstractNumId="18">
    <w:nsid w:val="77EA1C1B"/>
    <w:multiLevelType w:val="multilevel"/>
    <w:tmpl w:val="CE6A5AEA"/>
    <w:styleLink w:val="CUTableIndent"/>
    <w:lvl w:ilvl="0">
      <w:start w:val="1"/>
      <w:numFmt w:val="none"/>
      <w:pStyle w:val="CUTableIndent1"/>
      <w:suff w:val="nothing"/>
      <w:lvlText w:val=""/>
      <w:lvlJc w:val="left"/>
      <w:pPr>
        <w:ind w:left="567"/>
      </w:pPr>
      <w:rPr>
        <w:rFonts w:ascii="Arial" w:hAnsi="Arial" w:cs="Times New Roman" w:hint="default"/>
        <w:sz w:val="20"/>
      </w:rPr>
    </w:lvl>
    <w:lvl w:ilvl="1">
      <w:start w:val="1"/>
      <w:numFmt w:val="none"/>
      <w:pStyle w:val="CUTableIndent2"/>
      <w:suff w:val="nothing"/>
      <w:lvlText w:val=""/>
      <w:lvlJc w:val="left"/>
      <w:pPr>
        <w:ind w:left="1134"/>
      </w:pPr>
      <w:rPr>
        <w:rFonts w:cs="Times New Roman" w:hint="default"/>
      </w:rPr>
    </w:lvl>
    <w:lvl w:ilvl="2">
      <w:start w:val="1"/>
      <w:numFmt w:val="none"/>
      <w:pStyle w:val="CUTableIndent3"/>
      <w:suff w:val="nothing"/>
      <w:lvlText w:val=""/>
      <w:lvlJc w:val="left"/>
      <w:pPr>
        <w:ind w:left="1701"/>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79D24D72"/>
    <w:multiLevelType w:val="hybridMultilevel"/>
    <w:tmpl w:val="AF442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9"/>
  </w:num>
  <w:num w:numId="8">
    <w:abstractNumId w:val="15"/>
  </w:num>
  <w:num w:numId="9">
    <w:abstractNumId w:val="6"/>
  </w:num>
  <w:num w:numId="10">
    <w:abstractNumId w:val="10"/>
  </w:num>
  <w:num w:numId="11">
    <w:abstractNumId w:val="14"/>
  </w:num>
  <w:num w:numId="12">
    <w:abstractNumId w:val="11"/>
  </w:num>
  <w:num w:numId="13">
    <w:abstractNumId w:val="17"/>
  </w:num>
  <w:num w:numId="14">
    <w:abstractNumId w:val="13"/>
  </w:num>
  <w:num w:numId="15">
    <w:abstractNumId w:val="9"/>
  </w:num>
  <w:num w:numId="16">
    <w:abstractNumId w:val="12"/>
  </w:num>
  <w:num w:numId="17">
    <w:abstractNumId w:val="12"/>
  </w:num>
  <w:num w:numId="18">
    <w:abstractNumId w:val="8"/>
  </w:num>
  <w:num w:numId="19">
    <w:abstractNumId w:val="8"/>
  </w:num>
  <w:num w:numId="20">
    <w:abstractNumId w:val="7"/>
  </w:num>
  <w:num w:numId="21">
    <w:abstractNumId w:val="18"/>
  </w:num>
  <w:num w:numId="22">
    <w:abstractNumId w:val="20"/>
  </w:num>
  <w:num w:numId="23">
    <w:abstractNumId w:val="5"/>
  </w:num>
  <w:num w:numId="24">
    <w:abstractNumId w:val="17"/>
  </w:num>
  <w:num w:numId="25">
    <w:abstractNumId w:val="17"/>
  </w:num>
  <w:num w:numId="26">
    <w:abstractNumId w:val="17"/>
  </w:num>
  <w:num w:numId="27">
    <w:abstractNumId w:val="17"/>
  </w:num>
  <w:num w:numId="28">
    <w:abstractNumId w:val="10"/>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 "/>
  </w:docVars>
  <w:rsids>
    <w:rsidRoot w:val="00724655"/>
    <w:rsid w:val="00002C94"/>
    <w:rsid w:val="00004D31"/>
    <w:rsid w:val="00005B86"/>
    <w:rsid w:val="000168B1"/>
    <w:rsid w:val="00020E1B"/>
    <w:rsid w:val="0006364F"/>
    <w:rsid w:val="00074624"/>
    <w:rsid w:val="000820B8"/>
    <w:rsid w:val="00086F9C"/>
    <w:rsid w:val="00096A3A"/>
    <w:rsid w:val="000A1E19"/>
    <w:rsid w:val="000B07D0"/>
    <w:rsid w:val="000B4597"/>
    <w:rsid w:val="000B51AD"/>
    <w:rsid w:val="000B71F9"/>
    <w:rsid w:val="000C0028"/>
    <w:rsid w:val="000C6326"/>
    <w:rsid w:val="000E35F1"/>
    <w:rsid w:val="001008F9"/>
    <w:rsid w:val="00114941"/>
    <w:rsid w:val="00122740"/>
    <w:rsid w:val="00126403"/>
    <w:rsid w:val="00162582"/>
    <w:rsid w:val="0016380E"/>
    <w:rsid w:val="00170EDE"/>
    <w:rsid w:val="001E0DEF"/>
    <w:rsid w:val="0021101E"/>
    <w:rsid w:val="00211042"/>
    <w:rsid w:val="00230287"/>
    <w:rsid w:val="002428B1"/>
    <w:rsid w:val="002432BB"/>
    <w:rsid w:val="00246357"/>
    <w:rsid w:val="00252946"/>
    <w:rsid w:val="00253A17"/>
    <w:rsid w:val="00253E1D"/>
    <w:rsid w:val="00267E66"/>
    <w:rsid w:val="00274E60"/>
    <w:rsid w:val="00275B8B"/>
    <w:rsid w:val="00294F35"/>
    <w:rsid w:val="002B09F6"/>
    <w:rsid w:val="002C2B6F"/>
    <w:rsid w:val="002F3346"/>
    <w:rsid w:val="00311813"/>
    <w:rsid w:val="00325149"/>
    <w:rsid w:val="00335041"/>
    <w:rsid w:val="0034130E"/>
    <w:rsid w:val="00350763"/>
    <w:rsid w:val="00383EA0"/>
    <w:rsid w:val="003936A5"/>
    <w:rsid w:val="00393C87"/>
    <w:rsid w:val="003A570C"/>
    <w:rsid w:val="003C41D0"/>
    <w:rsid w:val="003D0340"/>
    <w:rsid w:val="00432E74"/>
    <w:rsid w:val="00450070"/>
    <w:rsid w:val="00471133"/>
    <w:rsid w:val="0048035C"/>
    <w:rsid w:val="00481884"/>
    <w:rsid w:val="004975D0"/>
    <w:rsid w:val="00497B52"/>
    <w:rsid w:val="004E0636"/>
    <w:rsid w:val="004E7E82"/>
    <w:rsid w:val="004F1A72"/>
    <w:rsid w:val="00504280"/>
    <w:rsid w:val="00505D67"/>
    <w:rsid w:val="005060CB"/>
    <w:rsid w:val="00511F20"/>
    <w:rsid w:val="00524805"/>
    <w:rsid w:val="005279A4"/>
    <w:rsid w:val="00527F97"/>
    <w:rsid w:val="00530AFB"/>
    <w:rsid w:val="00535A48"/>
    <w:rsid w:val="005413D7"/>
    <w:rsid w:val="005570D7"/>
    <w:rsid w:val="00567808"/>
    <w:rsid w:val="00573079"/>
    <w:rsid w:val="00583D22"/>
    <w:rsid w:val="005A1BF7"/>
    <w:rsid w:val="005A5FF1"/>
    <w:rsid w:val="005B36E9"/>
    <w:rsid w:val="005C303C"/>
    <w:rsid w:val="005C6A25"/>
    <w:rsid w:val="005C7C87"/>
    <w:rsid w:val="005D3849"/>
    <w:rsid w:val="005E3DE4"/>
    <w:rsid w:val="00645C6B"/>
    <w:rsid w:val="006A2732"/>
    <w:rsid w:val="006B0E85"/>
    <w:rsid w:val="006C6A1C"/>
    <w:rsid w:val="006E1923"/>
    <w:rsid w:val="00724655"/>
    <w:rsid w:val="00744650"/>
    <w:rsid w:val="007829EF"/>
    <w:rsid w:val="007A1BE2"/>
    <w:rsid w:val="007A330E"/>
    <w:rsid w:val="007B5ED2"/>
    <w:rsid w:val="007C40D8"/>
    <w:rsid w:val="007D262F"/>
    <w:rsid w:val="007D35E0"/>
    <w:rsid w:val="007E2677"/>
    <w:rsid w:val="007E4AFA"/>
    <w:rsid w:val="00811062"/>
    <w:rsid w:val="008245CB"/>
    <w:rsid w:val="008305CE"/>
    <w:rsid w:val="00834B3B"/>
    <w:rsid w:val="00846A1A"/>
    <w:rsid w:val="00880ED7"/>
    <w:rsid w:val="00884E87"/>
    <w:rsid w:val="00885338"/>
    <w:rsid w:val="00887EA1"/>
    <w:rsid w:val="00893F0B"/>
    <w:rsid w:val="008A50AA"/>
    <w:rsid w:val="008B3046"/>
    <w:rsid w:val="008B3A73"/>
    <w:rsid w:val="008B6FC9"/>
    <w:rsid w:val="008C01A3"/>
    <w:rsid w:val="008D7564"/>
    <w:rsid w:val="008F3D1A"/>
    <w:rsid w:val="009007C0"/>
    <w:rsid w:val="0091361B"/>
    <w:rsid w:val="00936B7C"/>
    <w:rsid w:val="009712ED"/>
    <w:rsid w:val="00990C30"/>
    <w:rsid w:val="009A1A81"/>
    <w:rsid w:val="009B38A2"/>
    <w:rsid w:val="00A125B3"/>
    <w:rsid w:val="00A70D50"/>
    <w:rsid w:val="00A714E0"/>
    <w:rsid w:val="00A7530D"/>
    <w:rsid w:val="00A968A2"/>
    <w:rsid w:val="00AC669A"/>
    <w:rsid w:val="00AD0044"/>
    <w:rsid w:val="00AD08F7"/>
    <w:rsid w:val="00AE24DE"/>
    <w:rsid w:val="00AF1263"/>
    <w:rsid w:val="00B44EA2"/>
    <w:rsid w:val="00B511AF"/>
    <w:rsid w:val="00B54855"/>
    <w:rsid w:val="00B708E9"/>
    <w:rsid w:val="00B7469B"/>
    <w:rsid w:val="00B76278"/>
    <w:rsid w:val="00B77BC5"/>
    <w:rsid w:val="00B90B17"/>
    <w:rsid w:val="00B90C92"/>
    <w:rsid w:val="00BA15AE"/>
    <w:rsid w:val="00BB60F7"/>
    <w:rsid w:val="00BB70DF"/>
    <w:rsid w:val="00BB76D8"/>
    <w:rsid w:val="00BD408D"/>
    <w:rsid w:val="00BE0138"/>
    <w:rsid w:val="00C05292"/>
    <w:rsid w:val="00C24A65"/>
    <w:rsid w:val="00C27E4E"/>
    <w:rsid w:val="00C417AE"/>
    <w:rsid w:val="00C632C0"/>
    <w:rsid w:val="00C92E39"/>
    <w:rsid w:val="00CF7AA2"/>
    <w:rsid w:val="00D00677"/>
    <w:rsid w:val="00D00C04"/>
    <w:rsid w:val="00D06949"/>
    <w:rsid w:val="00D140D0"/>
    <w:rsid w:val="00D25C14"/>
    <w:rsid w:val="00D4027C"/>
    <w:rsid w:val="00D4506F"/>
    <w:rsid w:val="00DA051A"/>
    <w:rsid w:val="00DA4BC6"/>
    <w:rsid w:val="00DD50BA"/>
    <w:rsid w:val="00E23AE7"/>
    <w:rsid w:val="00E3422C"/>
    <w:rsid w:val="00E62174"/>
    <w:rsid w:val="00E66E4B"/>
    <w:rsid w:val="00E95BA0"/>
    <w:rsid w:val="00EA0293"/>
    <w:rsid w:val="00ED2305"/>
    <w:rsid w:val="00F16319"/>
    <w:rsid w:val="00F307E7"/>
    <w:rsid w:val="00F42800"/>
    <w:rsid w:val="00F57922"/>
    <w:rsid w:val="00F73C94"/>
    <w:rsid w:val="00F90BA2"/>
    <w:rsid w:val="00FA66E0"/>
    <w:rsid w:val="00FC1134"/>
    <w:rsid w:val="00FC5FE2"/>
    <w:rsid w:val="00FD22BC"/>
    <w:rsid w:val="00FD4F69"/>
    <w:rsid w:val="00FE20B1"/>
    <w:rsid w:val="00FF15FF"/>
    <w:rsid w:val="00FF2395"/>
    <w:rsid w:val="00FF54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E60"/>
    <w:rPr>
      <w:rFonts w:cs="Times New Roman"/>
    </w:rPr>
  </w:style>
  <w:style w:type="paragraph" w:styleId="Heading1">
    <w:name w:val="heading 1"/>
    <w:basedOn w:val="Normal"/>
    <w:next w:val="IndentParaLevel1"/>
    <w:link w:val="Heading1Char"/>
    <w:uiPriority w:val="9"/>
    <w:qFormat/>
    <w:rsid w:val="003D0340"/>
    <w:pPr>
      <w:keepNext/>
      <w:numPr>
        <w:numId w:val="12"/>
      </w:numPr>
      <w:pBdr>
        <w:top w:val="single" w:sz="12" w:space="1" w:color="auto"/>
      </w:pBdr>
      <w:tabs>
        <w:tab w:val="num" w:pos="964"/>
      </w:tabs>
      <w:spacing w:after="220"/>
      <w:ind w:left="964" w:hanging="964"/>
      <w:outlineLvl w:val="0"/>
    </w:pPr>
    <w:rPr>
      <w:rFonts w:cs="Arial"/>
      <w:b/>
      <w:bCs/>
      <w:sz w:val="28"/>
      <w:szCs w:val="32"/>
    </w:rPr>
  </w:style>
  <w:style w:type="paragraph" w:styleId="Heading2">
    <w:name w:val="heading 2"/>
    <w:basedOn w:val="Normal"/>
    <w:next w:val="IndentParaLevel1"/>
    <w:link w:val="Heading2Char"/>
    <w:uiPriority w:val="9"/>
    <w:qFormat/>
    <w:rsid w:val="003D0340"/>
    <w:pPr>
      <w:keepNext/>
      <w:numPr>
        <w:ilvl w:val="1"/>
        <w:numId w:val="12"/>
      </w:numPr>
      <w:tabs>
        <w:tab w:val="num" w:pos="964"/>
      </w:tabs>
      <w:spacing w:after="220"/>
      <w:ind w:left="964" w:hanging="964"/>
      <w:outlineLvl w:val="1"/>
    </w:pPr>
    <w:rPr>
      <w:b/>
      <w:bCs/>
      <w:iCs/>
      <w:sz w:val="24"/>
      <w:szCs w:val="28"/>
    </w:rPr>
  </w:style>
  <w:style w:type="paragraph" w:styleId="Heading3">
    <w:name w:val="heading 3"/>
    <w:basedOn w:val="Normal"/>
    <w:link w:val="Heading3Char"/>
    <w:uiPriority w:val="9"/>
    <w:qFormat/>
    <w:rsid w:val="003D0340"/>
    <w:pPr>
      <w:numPr>
        <w:ilvl w:val="2"/>
        <w:numId w:val="12"/>
      </w:numPr>
      <w:tabs>
        <w:tab w:val="num" w:pos="1928"/>
      </w:tabs>
      <w:ind w:left="1928" w:hanging="964"/>
      <w:outlineLvl w:val="2"/>
    </w:pPr>
    <w:rPr>
      <w:rFonts w:cs="Arial"/>
      <w:bCs/>
      <w:szCs w:val="26"/>
      <w:lang w:eastAsia="en-AU"/>
    </w:rPr>
  </w:style>
  <w:style w:type="paragraph" w:styleId="Heading4">
    <w:name w:val="heading 4"/>
    <w:basedOn w:val="Normal"/>
    <w:link w:val="Heading4Char"/>
    <w:uiPriority w:val="9"/>
    <w:qFormat/>
    <w:rsid w:val="003D0340"/>
    <w:pPr>
      <w:numPr>
        <w:ilvl w:val="3"/>
        <w:numId w:val="12"/>
      </w:numPr>
      <w:tabs>
        <w:tab w:val="num" w:pos="2892"/>
      </w:tabs>
      <w:ind w:left="2892" w:hanging="964"/>
      <w:outlineLvl w:val="3"/>
    </w:pPr>
    <w:rPr>
      <w:bCs/>
      <w:szCs w:val="28"/>
      <w:lang w:eastAsia="en-AU"/>
    </w:rPr>
  </w:style>
  <w:style w:type="paragraph" w:styleId="Heading5">
    <w:name w:val="heading 5"/>
    <w:basedOn w:val="Normal"/>
    <w:link w:val="Heading5Char"/>
    <w:uiPriority w:val="9"/>
    <w:qFormat/>
    <w:rsid w:val="003D0340"/>
    <w:pPr>
      <w:numPr>
        <w:ilvl w:val="4"/>
        <w:numId w:val="12"/>
      </w:numPr>
      <w:tabs>
        <w:tab w:val="num" w:pos="3856"/>
      </w:tabs>
      <w:ind w:left="3856" w:hanging="964"/>
      <w:outlineLvl w:val="4"/>
    </w:pPr>
    <w:rPr>
      <w:bCs/>
      <w:iCs/>
      <w:szCs w:val="26"/>
      <w:lang w:eastAsia="en-AU"/>
    </w:rPr>
  </w:style>
  <w:style w:type="paragraph" w:styleId="Heading6">
    <w:name w:val="heading 6"/>
    <w:basedOn w:val="Normal"/>
    <w:link w:val="Heading6Char"/>
    <w:uiPriority w:val="9"/>
    <w:qFormat/>
    <w:rsid w:val="003D0340"/>
    <w:pPr>
      <w:numPr>
        <w:ilvl w:val="5"/>
        <w:numId w:val="12"/>
      </w:numPr>
      <w:tabs>
        <w:tab w:val="num" w:pos="4820"/>
      </w:tabs>
      <w:ind w:left="4820" w:hanging="964"/>
      <w:outlineLvl w:val="5"/>
    </w:pPr>
    <w:rPr>
      <w:bCs/>
      <w:szCs w:val="22"/>
      <w:lang w:eastAsia="en-AU"/>
    </w:rPr>
  </w:style>
  <w:style w:type="paragraph" w:styleId="Heading7">
    <w:name w:val="heading 7"/>
    <w:basedOn w:val="Normal"/>
    <w:link w:val="Heading7Char"/>
    <w:uiPriority w:val="9"/>
    <w:qFormat/>
    <w:rsid w:val="003D0340"/>
    <w:pPr>
      <w:numPr>
        <w:ilvl w:val="6"/>
        <w:numId w:val="12"/>
      </w:numPr>
      <w:tabs>
        <w:tab w:val="num" w:pos="5783"/>
      </w:tabs>
      <w:ind w:left="5783" w:hanging="963"/>
      <w:outlineLvl w:val="6"/>
    </w:pPr>
    <w:rPr>
      <w:lang w:eastAsia="en-AU"/>
    </w:rPr>
  </w:style>
  <w:style w:type="paragraph" w:styleId="Heading8">
    <w:name w:val="heading 8"/>
    <w:basedOn w:val="Normal"/>
    <w:link w:val="Heading8Char"/>
    <w:uiPriority w:val="9"/>
    <w:qFormat/>
    <w:rsid w:val="003D0340"/>
    <w:pPr>
      <w:numPr>
        <w:ilvl w:val="7"/>
        <w:numId w:val="12"/>
      </w:numPr>
      <w:tabs>
        <w:tab w:val="num" w:pos="6747"/>
      </w:tabs>
      <w:ind w:left="6747" w:hanging="964"/>
      <w:outlineLvl w:val="7"/>
    </w:pPr>
    <w:rPr>
      <w:iCs/>
      <w:lang w:eastAsia="en-AU"/>
    </w:rPr>
  </w:style>
  <w:style w:type="paragraph" w:styleId="Heading9">
    <w:name w:val="heading 9"/>
    <w:basedOn w:val="Normal"/>
    <w:next w:val="Normal"/>
    <w:link w:val="Heading9Char"/>
    <w:uiPriority w:val="9"/>
    <w:qFormat/>
    <w:rsid w:val="003D0340"/>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customStyle="1" w:styleId="AltOpt">
    <w:name w:val="AltOpt"/>
    <w:basedOn w:val="DefaultParagraphFont"/>
    <w:rsid w:val="003D0340"/>
    <w:rPr>
      <w:rFonts w:ascii="Arial" w:hAnsi="Arial" w:cs="Times New Roman"/>
      <w:b/>
      <w:color w:val="FFFF99"/>
      <w:sz w:val="22"/>
      <w:szCs w:val="22"/>
      <w:shd w:val="clear" w:color="auto" w:fill="808080"/>
    </w:rPr>
  </w:style>
  <w:style w:type="paragraph" w:customStyle="1" w:styleId="AnnexureHeading">
    <w:name w:val="Annexure Heading"/>
    <w:basedOn w:val="Normal"/>
    <w:next w:val="Normal"/>
    <w:rsid w:val="002432BB"/>
    <w:pPr>
      <w:pageBreakBefore/>
      <w:numPr>
        <w:numId w:val="6"/>
      </w:numPr>
      <w:outlineLvl w:val="0"/>
    </w:pPr>
    <w:rPr>
      <w:b/>
      <w:sz w:val="24"/>
    </w:rPr>
  </w:style>
  <w:style w:type="paragraph" w:customStyle="1" w:styleId="AttachmentHeading">
    <w:name w:val="Attachment Heading"/>
    <w:basedOn w:val="Normal"/>
    <w:next w:val="Normal"/>
    <w:rsid w:val="002432BB"/>
    <w:pPr>
      <w:pageBreakBefore/>
      <w:numPr>
        <w:numId w:val="7"/>
      </w:numPr>
      <w:outlineLvl w:val="0"/>
    </w:pPr>
    <w:rPr>
      <w:b/>
      <w:sz w:val="24"/>
      <w:szCs w:val="22"/>
    </w:rPr>
  </w:style>
  <w:style w:type="paragraph" w:customStyle="1" w:styleId="IndentParaLevel1">
    <w:name w:val="IndentParaLevel1"/>
    <w:basedOn w:val="Normal"/>
    <w:rsid w:val="002432BB"/>
    <w:pPr>
      <w:numPr>
        <w:numId w:val="10"/>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13"/>
      </w:numPr>
      <w:outlineLvl w:val="0"/>
    </w:pPr>
  </w:style>
  <w:style w:type="paragraph" w:customStyle="1" w:styleId="CUNumber2">
    <w:name w:val="CU_Number2"/>
    <w:basedOn w:val="Normal"/>
    <w:rsid w:val="003D0340"/>
    <w:pPr>
      <w:numPr>
        <w:ilvl w:val="1"/>
        <w:numId w:val="13"/>
      </w:numPr>
      <w:outlineLvl w:val="1"/>
    </w:pPr>
  </w:style>
  <w:style w:type="paragraph" w:customStyle="1" w:styleId="CUNumber3">
    <w:name w:val="CU_Number3"/>
    <w:basedOn w:val="Normal"/>
    <w:rsid w:val="003D0340"/>
    <w:pPr>
      <w:numPr>
        <w:ilvl w:val="2"/>
        <w:numId w:val="13"/>
      </w:numPr>
      <w:outlineLvl w:val="2"/>
    </w:pPr>
  </w:style>
  <w:style w:type="paragraph" w:customStyle="1" w:styleId="CUNumber4">
    <w:name w:val="CU_Number4"/>
    <w:basedOn w:val="Normal"/>
    <w:rsid w:val="003D0340"/>
    <w:pPr>
      <w:numPr>
        <w:ilvl w:val="3"/>
        <w:numId w:val="13"/>
      </w:numPr>
      <w:outlineLvl w:val="3"/>
    </w:pPr>
  </w:style>
  <w:style w:type="paragraph" w:customStyle="1" w:styleId="CUNumber5">
    <w:name w:val="CU_Number5"/>
    <w:basedOn w:val="Normal"/>
    <w:rsid w:val="003D0340"/>
    <w:pPr>
      <w:numPr>
        <w:ilvl w:val="4"/>
        <w:numId w:val="13"/>
      </w:numPr>
      <w:outlineLvl w:val="4"/>
    </w:pPr>
  </w:style>
  <w:style w:type="paragraph" w:customStyle="1" w:styleId="CUNumber6">
    <w:name w:val="CU_Number6"/>
    <w:basedOn w:val="Normal"/>
    <w:rsid w:val="003D0340"/>
    <w:pPr>
      <w:numPr>
        <w:ilvl w:val="5"/>
        <w:numId w:val="13"/>
      </w:numPr>
      <w:outlineLvl w:val="5"/>
    </w:pPr>
  </w:style>
  <w:style w:type="paragraph" w:customStyle="1" w:styleId="CUNumber7">
    <w:name w:val="CU_Number7"/>
    <w:basedOn w:val="Normal"/>
    <w:rsid w:val="003D0340"/>
    <w:pPr>
      <w:numPr>
        <w:ilvl w:val="6"/>
        <w:numId w:val="13"/>
      </w:numPr>
      <w:outlineLvl w:val="6"/>
    </w:pPr>
  </w:style>
  <w:style w:type="paragraph" w:customStyle="1" w:styleId="CUNumber8">
    <w:name w:val="CU_Number8"/>
    <w:basedOn w:val="Normal"/>
    <w:rsid w:val="003D0340"/>
    <w:pPr>
      <w:numPr>
        <w:ilvl w:val="7"/>
        <w:numId w:val="13"/>
      </w:numPr>
      <w:outlineLvl w:val="7"/>
    </w:pPr>
  </w:style>
  <w:style w:type="paragraph" w:customStyle="1" w:styleId="Definition">
    <w:name w:val="Definition"/>
    <w:basedOn w:val="Normal"/>
    <w:rsid w:val="003D0340"/>
    <w:pPr>
      <w:numPr>
        <w:numId w:val="15"/>
      </w:numPr>
    </w:pPr>
    <w:rPr>
      <w:szCs w:val="22"/>
      <w:lang w:eastAsia="en-AU"/>
    </w:rPr>
  </w:style>
  <w:style w:type="paragraph" w:customStyle="1" w:styleId="DefinitionNum2">
    <w:name w:val="DefinitionNum2"/>
    <w:basedOn w:val="Normal"/>
    <w:rsid w:val="003D0340"/>
    <w:pPr>
      <w:numPr>
        <w:ilvl w:val="1"/>
        <w:numId w:val="15"/>
      </w:numPr>
    </w:pPr>
    <w:rPr>
      <w:color w:val="000000"/>
      <w:lang w:eastAsia="en-AU"/>
    </w:rPr>
  </w:style>
  <w:style w:type="paragraph" w:customStyle="1" w:styleId="DefinitionNum3">
    <w:name w:val="DefinitionNum3"/>
    <w:basedOn w:val="Normal"/>
    <w:rsid w:val="003D0340"/>
    <w:pPr>
      <w:numPr>
        <w:ilvl w:val="2"/>
        <w:numId w:val="15"/>
      </w:numPr>
      <w:outlineLvl w:val="2"/>
    </w:pPr>
    <w:rPr>
      <w:color w:val="000000"/>
      <w:szCs w:val="22"/>
      <w:lang w:eastAsia="en-AU"/>
    </w:rPr>
  </w:style>
  <w:style w:type="paragraph" w:customStyle="1" w:styleId="DefinitionNum4">
    <w:name w:val="DefinitionNum4"/>
    <w:basedOn w:val="Normal"/>
    <w:rsid w:val="003D0340"/>
    <w:pPr>
      <w:numPr>
        <w:ilvl w:val="3"/>
        <w:numId w:val="15"/>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uiPriority w:val="99"/>
    <w:rsid w:val="003D0340"/>
    <w:rPr>
      <w:rFonts w:ascii="Arial" w:hAnsi="Arial" w:cs="Times New Roman"/>
      <w:sz w:val="20"/>
      <w:vertAlign w:val="superscript"/>
    </w:rPr>
  </w:style>
  <w:style w:type="paragraph" w:customStyle="1" w:styleId="ExhibitHeading">
    <w:name w:val="Exhibit Heading"/>
    <w:basedOn w:val="Normal"/>
    <w:next w:val="Normal"/>
    <w:rsid w:val="002432BB"/>
    <w:pPr>
      <w:pageBreakBefore/>
      <w:numPr>
        <w:numId w:val="8"/>
      </w:numPr>
      <w:outlineLvl w:val="0"/>
    </w:pPr>
    <w:rPr>
      <w:b/>
      <w:sz w:val="24"/>
    </w:rPr>
  </w:style>
  <w:style w:type="character" w:styleId="FootnoteReference">
    <w:name w:val="footnote reference"/>
    <w:basedOn w:val="DefaultParagraphFont"/>
    <w:uiPriority w:val="99"/>
    <w:rsid w:val="00A7530D"/>
    <w:rPr>
      <w:rFonts w:ascii="Arial" w:hAnsi="Arial" w:cs="Times New Roman"/>
      <w:sz w:val="18"/>
      <w:vertAlign w:val="superscript"/>
    </w:rPr>
  </w:style>
  <w:style w:type="character" w:styleId="Hyperlink">
    <w:name w:val="Hyperlink"/>
    <w:basedOn w:val="DefaultParagraphFont"/>
    <w:uiPriority w:val="99"/>
    <w:rsid w:val="003A570C"/>
    <w:rPr>
      <w:rFonts w:cs="Times New Roman"/>
      <w:color w:val="0000FF"/>
      <w:u w:val="single"/>
    </w:rPr>
  </w:style>
  <w:style w:type="character" w:customStyle="1" w:styleId="IDDVariableMarker">
    <w:name w:val="IDDVariableMarker"/>
    <w:basedOn w:val="DefaultParagraphFont"/>
    <w:rsid w:val="00FF2395"/>
    <w:rPr>
      <w:rFonts w:cs="Times New Roman"/>
      <w:b/>
    </w:rPr>
  </w:style>
  <w:style w:type="paragraph" w:customStyle="1" w:styleId="IndentParaLevel2">
    <w:name w:val="IndentParaLevel2"/>
    <w:basedOn w:val="Normal"/>
    <w:rsid w:val="002432BB"/>
    <w:pPr>
      <w:numPr>
        <w:ilvl w:val="1"/>
        <w:numId w:val="10"/>
      </w:numPr>
    </w:pPr>
  </w:style>
  <w:style w:type="paragraph" w:customStyle="1" w:styleId="IndentParaLevel3">
    <w:name w:val="IndentParaLevel3"/>
    <w:basedOn w:val="Normal"/>
    <w:rsid w:val="002432BB"/>
    <w:pPr>
      <w:numPr>
        <w:ilvl w:val="2"/>
        <w:numId w:val="10"/>
      </w:numPr>
    </w:pPr>
  </w:style>
  <w:style w:type="paragraph" w:customStyle="1" w:styleId="IndentParaLevel4">
    <w:name w:val="IndentParaLevel4"/>
    <w:basedOn w:val="Normal"/>
    <w:rsid w:val="002432BB"/>
    <w:pPr>
      <w:numPr>
        <w:ilvl w:val="3"/>
        <w:numId w:val="10"/>
      </w:numPr>
    </w:pPr>
  </w:style>
  <w:style w:type="paragraph" w:customStyle="1" w:styleId="IndentParaLevel5">
    <w:name w:val="IndentParaLevel5"/>
    <w:basedOn w:val="Normal"/>
    <w:rsid w:val="002432BB"/>
    <w:pPr>
      <w:numPr>
        <w:ilvl w:val="4"/>
        <w:numId w:val="10"/>
      </w:numPr>
    </w:pPr>
  </w:style>
  <w:style w:type="paragraph" w:customStyle="1" w:styleId="IndentParaLevel6">
    <w:name w:val="IndentParaLevel6"/>
    <w:basedOn w:val="Normal"/>
    <w:rsid w:val="002432BB"/>
    <w:pPr>
      <w:numPr>
        <w:ilvl w:val="5"/>
        <w:numId w:val="10"/>
      </w:numPr>
    </w:pPr>
  </w:style>
  <w:style w:type="paragraph" w:styleId="ListBullet">
    <w:name w:val="List Bullet"/>
    <w:basedOn w:val="Normal"/>
    <w:uiPriority w:val="99"/>
    <w:rsid w:val="002432BB"/>
    <w:pPr>
      <w:numPr>
        <w:numId w:val="11"/>
      </w:numPr>
    </w:pPr>
  </w:style>
  <w:style w:type="paragraph" w:styleId="ListBullet2">
    <w:name w:val="List Bullet 2"/>
    <w:basedOn w:val="Normal"/>
    <w:uiPriority w:val="99"/>
    <w:rsid w:val="002432BB"/>
    <w:pPr>
      <w:numPr>
        <w:ilvl w:val="1"/>
        <w:numId w:val="11"/>
      </w:numPr>
    </w:pPr>
  </w:style>
  <w:style w:type="paragraph" w:styleId="ListBullet3">
    <w:name w:val="List Bullet 3"/>
    <w:basedOn w:val="Normal"/>
    <w:uiPriority w:val="99"/>
    <w:rsid w:val="002432BB"/>
    <w:pPr>
      <w:numPr>
        <w:ilvl w:val="2"/>
        <w:numId w:val="11"/>
      </w:numPr>
    </w:pPr>
  </w:style>
  <w:style w:type="paragraph" w:styleId="ListBullet4">
    <w:name w:val="List Bullet 4"/>
    <w:basedOn w:val="Normal"/>
    <w:uiPriority w:val="99"/>
    <w:rsid w:val="002432BB"/>
    <w:pPr>
      <w:numPr>
        <w:ilvl w:val="3"/>
        <w:numId w:val="11"/>
      </w:numPr>
    </w:pPr>
  </w:style>
  <w:style w:type="paragraph" w:styleId="ListBullet5">
    <w:name w:val="List Bullet 5"/>
    <w:basedOn w:val="Normal"/>
    <w:uiPriority w:val="99"/>
    <w:rsid w:val="002432BB"/>
    <w:pPr>
      <w:numPr>
        <w:ilvl w:val="4"/>
        <w:numId w:val="11"/>
      </w:numPr>
    </w:pPr>
  </w:style>
  <w:style w:type="paragraph" w:customStyle="1" w:styleId="MinorTitleArial">
    <w:name w:val="Minor_Title_Arial"/>
    <w:next w:val="Normal"/>
    <w:rsid w:val="002432BB"/>
    <w:pPr>
      <w:spacing w:after="0"/>
    </w:pPr>
    <w:rPr>
      <w:color w:val="000000"/>
      <w:sz w:val="18"/>
      <w:szCs w:val="18"/>
    </w:rPr>
  </w:style>
  <w:style w:type="character" w:styleId="PageNumber">
    <w:name w:val="page number"/>
    <w:basedOn w:val="DefaultParagraphFont"/>
    <w:uiPriority w:val="99"/>
    <w:semiHidden/>
    <w:rsid w:val="003D0340"/>
    <w:rPr>
      <w:rFonts w:ascii="Arial" w:hAnsi="Arial" w:cs="Times New Roman"/>
      <w:sz w:val="18"/>
    </w:rPr>
  </w:style>
  <w:style w:type="paragraph" w:customStyle="1" w:styleId="ScheduleHeading">
    <w:name w:val="Schedule Heading"/>
    <w:basedOn w:val="Normal"/>
    <w:next w:val="Normal"/>
    <w:rsid w:val="003D0340"/>
    <w:pPr>
      <w:pageBreakBefore/>
      <w:numPr>
        <w:numId w:val="14"/>
      </w:numPr>
      <w:outlineLvl w:val="0"/>
    </w:pPr>
    <w:rPr>
      <w:b/>
      <w:sz w:val="24"/>
      <w:lang w:eastAsia="en-AU"/>
    </w:rPr>
  </w:style>
  <w:style w:type="paragraph" w:customStyle="1" w:styleId="Schedule1">
    <w:name w:val="Schedule_1"/>
    <w:basedOn w:val="Normal"/>
    <w:next w:val="IndentParaLevel1"/>
    <w:rsid w:val="003D0340"/>
    <w:pPr>
      <w:keepNext/>
      <w:numPr>
        <w:ilvl w:val="1"/>
        <w:numId w:val="14"/>
      </w:numPr>
      <w:pBdr>
        <w:top w:val="single" w:sz="12" w:space="1" w:color="auto"/>
      </w:pBdr>
      <w:tabs>
        <w:tab w:val="num" w:pos="964"/>
      </w:tabs>
      <w:ind w:left="964"/>
      <w:outlineLvl w:val="0"/>
    </w:pPr>
    <w:rPr>
      <w:b/>
      <w:sz w:val="28"/>
      <w:lang w:eastAsia="en-AU"/>
    </w:rPr>
  </w:style>
  <w:style w:type="paragraph" w:customStyle="1" w:styleId="Schedule2">
    <w:name w:val="Schedule_2"/>
    <w:basedOn w:val="Normal"/>
    <w:next w:val="IndentParaLevel1"/>
    <w:rsid w:val="003D0340"/>
    <w:pPr>
      <w:keepNext/>
      <w:numPr>
        <w:ilvl w:val="2"/>
        <w:numId w:val="14"/>
      </w:numPr>
      <w:tabs>
        <w:tab w:val="num" w:pos="964"/>
      </w:tabs>
      <w:ind w:left="964"/>
      <w:outlineLvl w:val="1"/>
    </w:pPr>
    <w:rPr>
      <w:b/>
      <w:sz w:val="24"/>
      <w:lang w:eastAsia="en-AU"/>
    </w:rPr>
  </w:style>
  <w:style w:type="paragraph" w:customStyle="1" w:styleId="Schedule3">
    <w:name w:val="Schedule_3"/>
    <w:basedOn w:val="Normal"/>
    <w:rsid w:val="003D0340"/>
    <w:pPr>
      <w:numPr>
        <w:ilvl w:val="3"/>
        <w:numId w:val="14"/>
      </w:numPr>
      <w:tabs>
        <w:tab w:val="num" w:pos="1928"/>
      </w:tabs>
      <w:ind w:left="1928"/>
      <w:outlineLvl w:val="2"/>
    </w:pPr>
    <w:rPr>
      <w:lang w:eastAsia="en-AU"/>
    </w:rPr>
  </w:style>
  <w:style w:type="paragraph" w:customStyle="1" w:styleId="Schedule4">
    <w:name w:val="Schedule_4"/>
    <w:basedOn w:val="Normal"/>
    <w:rsid w:val="003D0340"/>
    <w:pPr>
      <w:numPr>
        <w:ilvl w:val="4"/>
        <w:numId w:val="14"/>
      </w:numPr>
      <w:tabs>
        <w:tab w:val="num" w:pos="2892"/>
      </w:tabs>
      <w:ind w:left="2892"/>
      <w:outlineLvl w:val="3"/>
    </w:pPr>
    <w:rPr>
      <w:lang w:eastAsia="en-AU"/>
    </w:rPr>
  </w:style>
  <w:style w:type="paragraph" w:customStyle="1" w:styleId="Schedule5">
    <w:name w:val="Schedule_5"/>
    <w:basedOn w:val="Normal"/>
    <w:rsid w:val="003D0340"/>
    <w:pPr>
      <w:numPr>
        <w:ilvl w:val="5"/>
        <w:numId w:val="14"/>
      </w:numPr>
      <w:tabs>
        <w:tab w:val="num" w:pos="3856"/>
      </w:tabs>
      <w:ind w:left="3856"/>
      <w:outlineLvl w:val="5"/>
    </w:pPr>
    <w:rPr>
      <w:lang w:eastAsia="en-AU"/>
    </w:rPr>
  </w:style>
  <w:style w:type="paragraph" w:customStyle="1" w:styleId="Schedule6">
    <w:name w:val="Schedule_6"/>
    <w:basedOn w:val="Normal"/>
    <w:rsid w:val="003D0340"/>
    <w:pPr>
      <w:numPr>
        <w:ilvl w:val="6"/>
        <w:numId w:val="14"/>
      </w:numPr>
      <w:tabs>
        <w:tab w:val="num" w:pos="4820"/>
      </w:tabs>
      <w:ind w:left="4820" w:hanging="964"/>
      <w:outlineLvl w:val="6"/>
    </w:pPr>
    <w:rPr>
      <w:lang w:eastAsia="en-AU"/>
    </w:rPr>
  </w:style>
  <w:style w:type="paragraph" w:customStyle="1" w:styleId="Schedule7">
    <w:name w:val="Schedule_7"/>
    <w:basedOn w:val="Normal"/>
    <w:rsid w:val="003D0340"/>
    <w:pPr>
      <w:numPr>
        <w:ilvl w:val="7"/>
        <w:numId w:val="14"/>
      </w:numPr>
      <w:tabs>
        <w:tab w:val="num" w:pos="5783"/>
      </w:tabs>
      <w:ind w:left="5783" w:hanging="963"/>
      <w:outlineLvl w:val="7"/>
    </w:pPr>
    <w:rPr>
      <w:lang w:eastAsia="en-AU"/>
    </w:rPr>
  </w:style>
  <w:style w:type="paragraph" w:customStyle="1" w:styleId="Schedule8">
    <w:name w:val="Schedule_8"/>
    <w:basedOn w:val="Normal"/>
    <w:rsid w:val="003D0340"/>
    <w:pPr>
      <w:numPr>
        <w:ilvl w:val="8"/>
        <w:numId w:val="14"/>
      </w:numPr>
      <w:tabs>
        <w:tab w:val="num" w:pos="6747"/>
      </w:tabs>
      <w:ind w:left="6747" w:hanging="964"/>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uiPriority w:val="39"/>
    <w:semiHidden/>
    <w:rsid w:val="00FF2395"/>
    <w:pPr>
      <w:ind w:left="440"/>
    </w:pPr>
  </w:style>
  <w:style w:type="paragraph" w:styleId="TOC4">
    <w:name w:val="toc 4"/>
    <w:basedOn w:val="Normal"/>
    <w:next w:val="Normal"/>
    <w:autoRedefine/>
    <w:uiPriority w:val="39"/>
    <w:semiHidden/>
    <w:rsid w:val="00FF2395"/>
    <w:pPr>
      <w:ind w:left="660"/>
    </w:pPr>
  </w:style>
  <w:style w:type="paragraph" w:styleId="TOC5">
    <w:name w:val="toc 5"/>
    <w:basedOn w:val="Normal"/>
    <w:next w:val="Normal"/>
    <w:autoRedefine/>
    <w:uiPriority w:val="39"/>
    <w:semiHidden/>
    <w:rsid w:val="00FF2395"/>
    <w:pPr>
      <w:ind w:left="880"/>
    </w:pPr>
  </w:style>
  <w:style w:type="paragraph" w:styleId="TOC6">
    <w:name w:val="toc 6"/>
    <w:basedOn w:val="Normal"/>
    <w:next w:val="Normal"/>
    <w:autoRedefine/>
    <w:uiPriority w:val="39"/>
    <w:semiHidden/>
    <w:rsid w:val="00FF2395"/>
    <w:pPr>
      <w:ind w:left="1100"/>
    </w:pPr>
  </w:style>
  <w:style w:type="paragraph" w:styleId="TOC7">
    <w:name w:val="toc 7"/>
    <w:basedOn w:val="Normal"/>
    <w:next w:val="Normal"/>
    <w:autoRedefine/>
    <w:uiPriority w:val="39"/>
    <w:semiHidden/>
    <w:rsid w:val="00FF2395"/>
    <w:pPr>
      <w:ind w:left="1320"/>
    </w:pPr>
  </w:style>
  <w:style w:type="paragraph" w:styleId="TOC8">
    <w:name w:val="toc 8"/>
    <w:basedOn w:val="Normal"/>
    <w:next w:val="Normal"/>
    <w:autoRedefine/>
    <w:uiPriority w:val="39"/>
    <w:semiHidden/>
    <w:rsid w:val="00FF2395"/>
    <w:pPr>
      <w:ind w:left="1540"/>
    </w:pPr>
  </w:style>
  <w:style w:type="paragraph" w:styleId="TOC9">
    <w:name w:val="toc 9"/>
    <w:basedOn w:val="Normal"/>
    <w:next w:val="Normal"/>
    <w:uiPriority w:val="39"/>
    <w:semiHidden/>
    <w:rsid w:val="00FF2395"/>
    <w:pPr>
      <w:ind w:left="1758"/>
    </w:pPr>
  </w:style>
  <w:style w:type="paragraph" w:customStyle="1" w:styleId="TOCHeader">
    <w:name w:val="TOCHeader"/>
    <w:basedOn w:val="Normal"/>
    <w:rsid w:val="002432BB"/>
    <w:pPr>
      <w:keepNext/>
    </w:pPr>
    <w:rPr>
      <w:b/>
      <w:sz w:val="24"/>
    </w:rPr>
  </w:style>
  <w:style w:type="paragraph" w:customStyle="1" w:styleId="CUTable1">
    <w:name w:val="CU_Table1"/>
    <w:basedOn w:val="Normal"/>
    <w:rsid w:val="003D0340"/>
    <w:pPr>
      <w:numPr>
        <w:numId w:val="12"/>
      </w:numPr>
      <w:outlineLvl w:val="0"/>
    </w:pPr>
  </w:style>
  <w:style w:type="paragraph" w:customStyle="1" w:styleId="CUTable2">
    <w:name w:val="CU_Table2"/>
    <w:basedOn w:val="Normal"/>
    <w:rsid w:val="003D0340"/>
    <w:pPr>
      <w:numPr>
        <w:ilvl w:val="1"/>
        <w:numId w:val="12"/>
      </w:numPr>
      <w:outlineLvl w:val="2"/>
    </w:pPr>
  </w:style>
  <w:style w:type="paragraph" w:customStyle="1" w:styleId="CUTable3">
    <w:name w:val="CU_Table3"/>
    <w:basedOn w:val="Normal"/>
    <w:rsid w:val="003D0340"/>
    <w:pPr>
      <w:numPr>
        <w:ilvl w:val="2"/>
        <w:numId w:val="12"/>
      </w:numPr>
      <w:outlineLvl w:val="3"/>
    </w:pPr>
  </w:style>
  <w:style w:type="paragraph" w:customStyle="1" w:styleId="CUTable4">
    <w:name w:val="CU_Table4"/>
    <w:basedOn w:val="Normal"/>
    <w:rsid w:val="003D0340"/>
    <w:pPr>
      <w:numPr>
        <w:ilvl w:val="3"/>
        <w:numId w:val="12"/>
      </w:numPr>
      <w:outlineLvl w:val="4"/>
    </w:pPr>
  </w:style>
  <w:style w:type="paragraph" w:styleId="Header">
    <w:name w:val="header"/>
    <w:basedOn w:val="Normal"/>
    <w:link w:val="HeaderChar"/>
    <w:uiPriority w:val="99"/>
    <w:unhideWhenUsed/>
    <w:rsid w:val="006B0E85"/>
    <w:pPr>
      <w:tabs>
        <w:tab w:val="center" w:pos="4513"/>
        <w:tab w:val="right" w:pos="9026"/>
      </w:tabs>
    </w:pPr>
  </w:style>
  <w:style w:type="character" w:customStyle="1" w:styleId="HeaderChar">
    <w:name w:val="Header Char"/>
    <w:basedOn w:val="DefaultParagraphFont"/>
    <w:link w:val="Header"/>
    <w:uiPriority w:val="99"/>
    <w:locked/>
    <w:rsid w:val="006B0E85"/>
    <w:rPr>
      <w:rFonts w:ascii="Times New Roman" w:hAnsi="Times New Roman" w:cs="Times New Roman"/>
      <w:sz w:val="24"/>
      <w:szCs w:val="24"/>
    </w:rPr>
  </w:style>
  <w:style w:type="paragraph" w:styleId="Footer">
    <w:name w:val="footer"/>
    <w:basedOn w:val="Normal"/>
    <w:link w:val="FooterChar"/>
    <w:uiPriority w:val="99"/>
    <w:unhideWhenUsed/>
    <w:rsid w:val="00524805"/>
    <w:pPr>
      <w:spacing w:after="0"/>
    </w:pPr>
    <w:rPr>
      <w:sz w:val="18"/>
    </w:rPr>
  </w:style>
  <w:style w:type="character" w:customStyle="1" w:styleId="FooterChar">
    <w:name w:val="Footer Char"/>
    <w:basedOn w:val="DefaultParagraphFont"/>
    <w:link w:val="Footer"/>
    <w:uiPriority w:val="99"/>
    <w:locked/>
    <w:rsid w:val="00524805"/>
    <w:rPr>
      <w:rFonts w:cs="Times New Roman"/>
      <w:sz w:val="18"/>
    </w:rPr>
  </w:style>
  <w:style w:type="paragraph" w:styleId="Title">
    <w:name w:val="Title"/>
    <w:basedOn w:val="Normal"/>
    <w:link w:val="TitleChar"/>
    <w:uiPriority w:val="10"/>
    <w:qFormat/>
    <w:rsid w:val="003A570C"/>
    <w:pPr>
      <w:keepNext/>
    </w:pPr>
    <w:rPr>
      <w:rFonts w:cs="Arial"/>
      <w:b/>
      <w:bCs/>
      <w:sz w:val="28"/>
      <w:szCs w:val="32"/>
    </w:rPr>
  </w:style>
  <w:style w:type="character" w:customStyle="1" w:styleId="TitleChar">
    <w:name w:val="Title Char"/>
    <w:basedOn w:val="DefaultParagraphFont"/>
    <w:link w:val="Title"/>
    <w:uiPriority w:val="10"/>
    <w:locked/>
    <w:rsid w:val="003A570C"/>
    <w:rPr>
      <w:rFonts w:ascii="Arial" w:hAnsi="Arial" w:cs="Arial"/>
      <w:b/>
      <w:bCs/>
      <w:sz w:val="32"/>
      <w:szCs w:val="32"/>
    </w:rPr>
  </w:style>
  <w:style w:type="paragraph" w:styleId="Subtitle">
    <w:name w:val="Subtitle"/>
    <w:basedOn w:val="Normal"/>
    <w:link w:val="SubtitleChar"/>
    <w:uiPriority w:val="11"/>
    <w:qFormat/>
    <w:rsid w:val="003A570C"/>
    <w:pPr>
      <w:keepNext/>
    </w:pPr>
    <w:rPr>
      <w:rFonts w:cs="Arial"/>
      <w:b/>
      <w:sz w:val="24"/>
    </w:rPr>
  </w:style>
  <w:style w:type="character" w:customStyle="1" w:styleId="SubtitleChar">
    <w:name w:val="Subtitle Char"/>
    <w:basedOn w:val="DefaultParagraphFont"/>
    <w:link w:val="Subtitle"/>
    <w:uiPriority w:val="11"/>
    <w:locked/>
    <w:rsid w:val="003A570C"/>
    <w:rPr>
      <w:rFonts w:ascii="Arial" w:hAnsi="Arial" w:cs="Arial"/>
      <w:b/>
      <w:sz w:val="24"/>
      <w:szCs w:val="24"/>
    </w:rPr>
  </w:style>
  <w:style w:type="paragraph" w:styleId="EndnoteText">
    <w:name w:val="endnote text"/>
    <w:basedOn w:val="Normal"/>
    <w:link w:val="EndnoteTextChar"/>
    <w:uiPriority w:val="99"/>
    <w:rsid w:val="003A570C"/>
  </w:style>
  <w:style w:type="character" w:customStyle="1" w:styleId="EndnoteTextChar">
    <w:name w:val="Endnote Text Char"/>
    <w:basedOn w:val="DefaultParagraphFont"/>
    <w:link w:val="EndnoteText"/>
    <w:uiPriority w:val="99"/>
    <w:locked/>
    <w:rsid w:val="003A570C"/>
    <w:rPr>
      <w:rFonts w:ascii="Times New Roman" w:hAnsi="Times New Roman" w:cs="Times New Roman"/>
      <w:sz w:val="20"/>
      <w:szCs w:val="20"/>
    </w:rPr>
  </w:style>
  <w:style w:type="paragraph" w:styleId="FootnoteText">
    <w:name w:val="footnote text"/>
    <w:basedOn w:val="Normal"/>
    <w:link w:val="FootnoteTextChar"/>
    <w:uiPriority w:val="99"/>
    <w:rsid w:val="00A7530D"/>
    <w:rPr>
      <w:sz w:val="18"/>
    </w:rPr>
  </w:style>
  <w:style w:type="character" w:customStyle="1" w:styleId="FootnoteTextChar">
    <w:name w:val="Footnote Text Char"/>
    <w:basedOn w:val="DefaultParagraphFont"/>
    <w:link w:val="FootnoteText"/>
    <w:uiPriority w:val="99"/>
    <w:locked/>
    <w:rsid w:val="00A7530D"/>
    <w:rPr>
      <w:rFonts w:cs="Times New Roman"/>
      <w:sz w:val="18"/>
    </w:rPr>
  </w:style>
  <w:style w:type="paragraph" w:customStyle="1" w:styleId="CUTable5">
    <w:name w:val="CU_Table5"/>
    <w:basedOn w:val="Normal"/>
    <w:rsid w:val="003D0340"/>
    <w:pPr>
      <w:numPr>
        <w:ilvl w:val="4"/>
        <w:numId w:val="12"/>
      </w:numPr>
      <w:outlineLvl w:val="4"/>
    </w:pPr>
  </w:style>
  <w:style w:type="table" w:styleId="TableGrid">
    <w:name w:val="Table Grid"/>
    <w:basedOn w:val="TableNormal"/>
    <w:uiPriority w:val="59"/>
    <w:rsid w:val="00524805"/>
    <w:pPr>
      <w:spacing w:before="120" w:after="12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locked/>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bCs/>
      <w:sz w:val="40"/>
      <w:szCs w:val="40"/>
    </w:rPr>
  </w:style>
  <w:style w:type="paragraph" w:customStyle="1" w:styleId="CUTableBullet1">
    <w:name w:val="CU_Table Bullet1"/>
    <w:basedOn w:val="Normal"/>
    <w:qFormat/>
    <w:rsid w:val="0048035C"/>
    <w:pPr>
      <w:numPr>
        <w:numId w:val="20"/>
      </w:numPr>
    </w:pPr>
  </w:style>
  <w:style w:type="paragraph" w:customStyle="1" w:styleId="CUTableBullet2">
    <w:name w:val="CU_Table Bullet2"/>
    <w:basedOn w:val="Normal"/>
    <w:qFormat/>
    <w:rsid w:val="0048035C"/>
    <w:pPr>
      <w:numPr>
        <w:ilvl w:val="1"/>
        <w:numId w:val="20"/>
      </w:numPr>
    </w:pPr>
  </w:style>
  <w:style w:type="paragraph" w:customStyle="1" w:styleId="CUTableBullet3">
    <w:name w:val="CU_Table Bullet3"/>
    <w:basedOn w:val="Normal"/>
    <w:qFormat/>
    <w:rsid w:val="0048035C"/>
    <w:pPr>
      <w:numPr>
        <w:ilvl w:val="2"/>
        <w:numId w:val="20"/>
      </w:numPr>
    </w:pPr>
  </w:style>
  <w:style w:type="paragraph" w:customStyle="1" w:styleId="CUTableIndent1">
    <w:name w:val="CU_Table Indent1"/>
    <w:basedOn w:val="Normal"/>
    <w:qFormat/>
    <w:rsid w:val="004E0636"/>
    <w:pPr>
      <w:numPr>
        <w:numId w:val="21"/>
      </w:numPr>
    </w:pPr>
  </w:style>
  <w:style w:type="paragraph" w:customStyle="1" w:styleId="CUTableIndent2">
    <w:name w:val="CU_Table Indent2"/>
    <w:basedOn w:val="Normal"/>
    <w:qFormat/>
    <w:rsid w:val="004E0636"/>
    <w:pPr>
      <w:numPr>
        <w:ilvl w:val="1"/>
        <w:numId w:val="21"/>
      </w:numPr>
    </w:pPr>
  </w:style>
  <w:style w:type="paragraph" w:customStyle="1" w:styleId="CUTableIndent3">
    <w:name w:val="CU_Table Indent3"/>
    <w:basedOn w:val="Normal"/>
    <w:qFormat/>
    <w:rsid w:val="004E0636"/>
    <w:pPr>
      <w:numPr>
        <w:ilvl w:val="2"/>
        <w:numId w:val="21"/>
      </w:numPr>
    </w:pPr>
  </w:style>
  <w:style w:type="paragraph" w:styleId="ListParagraph">
    <w:name w:val="List Paragraph"/>
    <w:basedOn w:val="Normal"/>
    <w:uiPriority w:val="34"/>
    <w:rsid w:val="00724655"/>
    <w:pPr>
      <w:ind w:left="720"/>
      <w:contextualSpacing/>
    </w:pPr>
  </w:style>
  <w:style w:type="paragraph" w:customStyle="1" w:styleId="subsection">
    <w:name w:val="subsection"/>
    <w:basedOn w:val="Normal"/>
    <w:rsid w:val="00E95BA0"/>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E95BA0"/>
    <w:pPr>
      <w:spacing w:before="100" w:beforeAutospacing="1" w:after="100" w:afterAutospacing="1"/>
    </w:pPr>
    <w:rPr>
      <w:rFonts w:ascii="Times New Roman" w:hAnsi="Times New Roman"/>
      <w:sz w:val="24"/>
      <w:szCs w:val="24"/>
      <w:lang w:eastAsia="en-AU"/>
    </w:rPr>
  </w:style>
  <w:style w:type="character" w:customStyle="1" w:styleId="label">
    <w:name w:val="label"/>
    <w:basedOn w:val="DefaultParagraphFont"/>
    <w:rsid w:val="00383EA0"/>
    <w:rPr>
      <w:rFonts w:cs="Times New Roman"/>
    </w:rPr>
  </w:style>
  <w:style w:type="paragraph" w:customStyle="1" w:styleId="subprov">
    <w:name w:val="subprov"/>
    <w:basedOn w:val="Normal"/>
    <w:rsid w:val="00383EA0"/>
    <w:pPr>
      <w:spacing w:before="100" w:beforeAutospacing="1" w:after="100" w:afterAutospacing="1"/>
    </w:pPr>
    <w:rPr>
      <w:rFonts w:ascii="Times New Roman" w:hAnsi="Times New Roman"/>
      <w:sz w:val="24"/>
      <w:szCs w:val="24"/>
      <w:lang w:eastAsia="ja-JP"/>
    </w:rPr>
  </w:style>
  <w:style w:type="paragraph" w:customStyle="1" w:styleId="text">
    <w:name w:val="text"/>
    <w:basedOn w:val="Normal"/>
    <w:rsid w:val="00383EA0"/>
    <w:pPr>
      <w:spacing w:before="100" w:beforeAutospacing="1" w:after="100" w:afterAutospacing="1"/>
    </w:pPr>
    <w:rPr>
      <w:rFonts w:ascii="Times New Roman" w:hAnsi="Times New Roman"/>
      <w:sz w:val="24"/>
      <w:szCs w:val="24"/>
      <w:lang w:eastAsia="ja-JP"/>
    </w:rPr>
  </w:style>
  <w:style w:type="character" w:customStyle="1" w:styleId="apple-converted-space">
    <w:name w:val="apple-converted-space"/>
    <w:basedOn w:val="DefaultParagraphFont"/>
    <w:rsid w:val="00383EA0"/>
    <w:rPr>
      <w:rFonts w:cs="Times New Roman"/>
    </w:rPr>
  </w:style>
  <w:style w:type="paragraph" w:customStyle="1" w:styleId="paragraphsub">
    <w:name w:val="paragraphsub"/>
    <w:basedOn w:val="Normal"/>
    <w:rsid w:val="00A70D50"/>
    <w:pPr>
      <w:spacing w:before="100" w:beforeAutospacing="1" w:after="100" w:afterAutospacing="1"/>
    </w:pPr>
    <w:rPr>
      <w:rFonts w:ascii="Times New Roman" w:hAnsi="Times New Roman"/>
      <w:sz w:val="24"/>
      <w:szCs w:val="24"/>
      <w:lang w:eastAsia="ja-JP"/>
    </w:rPr>
  </w:style>
  <w:style w:type="character" w:styleId="Strong">
    <w:name w:val="Strong"/>
    <w:basedOn w:val="DefaultParagraphFont"/>
    <w:uiPriority w:val="22"/>
    <w:qFormat/>
    <w:rsid w:val="00B44EA2"/>
    <w:rPr>
      <w:rFonts w:cs="Times New Roman"/>
      <w:b/>
      <w:bCs/>
    </w:rPr>
  </w:style>
  <w:style w:type="paragraph" w:customStyle="1" w:styleId="legclearfix">
    <w:name w:val="legclearfix"/>
    <w:basedOn w:val="Normal"/>
    <w:rsid w:val="00020E1B"/>
    <w:pPr>
      <w:spacing w:before="100" w:beforeAutospacing="1" w:after="100" w:afterAutospacing="1"/>
    </w:pPr>
    <w:rPr>
      <w:rFonts w:ascii="Times New Roman" w:hAnsi="Times New Roman"/>
      <w:sz w:val="24"/>
      <w:szCs w:val="24"/>
      <w:lang w:eastAsia="en-AU"/>
    </w:rPr>
  </w:style>
  <w:style w:type="character" w:customStyle="1" w:styleId="legds">
    <w:name w:val="legds"/>
    <w:basedOn w:val="DefaultParagraphFont"/>
    <w:rsid w:val="00020E1B"/>
    <w:rPr>
      <w:rFonts w:cs="Times New Roman"/>
    </w:rPr>
  </w:style>
  <w:style w:type="numbering" w:customStyle="1" w:styleId="CUNumber">
    <w:name w:val="CU_Number"/>
    <w:pPr>
      <w:numPr>
        <w:numId w:val="9"/>
      </w:numPr>
    </w:pPr>
  </w:style>
  <w:style w:type="numbering" w:customStyle="1" w:styleId="CUTableBullet">
    <w:name w:val="CUTable Bullet"/>
    <w:pPr>
      <w:numPr>
        <w:numId w:val="20"/>
      </w:numPr>
    </w:pPr>
  </w:style>
  <w:style w:type="numbering" w:customStyle="1" w:styleId="CUSchedule">
    <w:name w:val="CU_Schedule"/>
    <w:pPr>
      <w:numPr>
        <w:numId w:val="18"/>
      </w:numPr>
    </w:pPr>
  </w:style>
  <w:style w:type="numbering" w:customStyle="1" w:styleId="CUIndent">
    <w:name w:val="CU_Indent"/>
    <w:pPr>
      <w:numPr>
        <w:numId w:val="10"/>
      </w:numPr>
    </w:pPr>
  </w:style>
  <w:style w:type="numbering" w:customStyle="1" w:styleId="CUTable">
    <w:name w:val="CU_Table"/>
    <w:pPr>
      <w:numPr>
        <w:numId w:val="12"/>
      </w:numPr>
    </w:pPr>
  </w:style>
  <w:style w:type="numbering" w:customStyle="1" w:styleId="CUHeading">
    <w:name w:val="CU_Heading"/>
    <w:pPr>
      <w:numPr>
        <w:numId w:val="16"/>
      </w:numPr>
    </w:pPr>
  </w:style>
  <w:style w:type="numbering" w:customStyle="1" w:styleId="CUDefinitions">
    <w:name w:val="CU_Definitions"/>
    <w:pPr>
      <w:numPr>
        <w:numId w:val="14"/>
      </w:numPr>
    </w:pPr>
  </w:style>
  <w:style w:type="numbering" w:customStyle="1" w:styleId="CUBullet">
    <w:name w:val="CU_Bullet"/>
    <w:pPr>
      <w:numPr>
        <w:numId w:val="11"/>
      </w:numPr>
    </w:pPr>
  </w:style>
  <w:style w:type="numbering" w:customStyle="1" w:styleId="CUTableIndent">
    <w:name w:val="CUTableIndent"/>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E60"/>
    <w:rPr>
      <w:rFonts w:cs="Times New Roman"/>
    </w:rPr>
  </w:style>
  <w:style w:type="paragraph" w:styleId="Heading1">
    <w:name w:val="heading 1"/>
    <w:basedOn w:val="Normal"/>
    <w:next w:val="IndentParaLevel1"/>
    <w:link w:val="Heading1Char"/>
    <w:uiPriority w:val="9"/>
    <w:qFormat/>
    <w:rsid w:val="003D0340"/>
    <w:pPr>
      <w:keepNext/>
      <w:numPr>
        <w:numId w:val="12"/>
      </w:numPr>
      <w:pBdr>
        <w:top w:val="single" w:sz="12" w:space="1" w:color="auto"/>
      </w:pBdr>
      <w:tabs>
        <w:tab w:val="num" w:pos="964"/>
      </w:tabs>
      <w:spacing w:after="220"/>
      <w:ind w:left="964" w:hanging="964"/>
      <w:outlineLvl w:val="0"/>
    </w:pPr>
    <w:rPr>
      <w:rFonts w:cs="Arial"/>
      <w:b/>
      <w:bCs/>
      <w:sz w:val="28"/>
      <w:szCs w:val="32"/>
    </w:rPr>
  </w:style>
  <w:style w:type="paragraph" w:styleId="Heading2">
    <w:name w:val="heading 2"/>
    <w:basedOn w:val="Normal"/>
    <w:next w:val="IndentParaLevel1"/>
    <w:link w:val="Heading2Char"/>
    <w:uiPriority w:val="9"/>
    <w:qFormat/>
    <w:rsid w:val="003D0340"/>
    <w:pPr>
      <w:keepNext/>
      <w:numPr>
        <w:ilvl w:val="1"/>
        <w:numId w:val="12"/>
      </w:numPr>
      <w:tabs>
        <w:tab w:val="num" w:pos="964"/>
      </w:tabs>
      <w:spacing w:after="220"/>
      <w:ind w:left="964" w:hanging="964"/>
      <w:outlineLvl w:val="1"/>
    </w:pPr>
    <w:rPr>
      <w:b/>
      <w:bCs/>
      <w:iCs/>
      <w:sz w:val="24"/>
      <w:szCs w:val="28"/>
    </w:rPr>
  </w:style>
  <w:style w:type="paragraph" w:styleId="Heading3">
    <w:name w:val="heading 3"/>
    <w:basedOn w:val="Normal"/>
    <w:link w:val="Heading3Char"/>
    <w:uiPriority w:val="9"/>
    <w:qFormat/>
    <w:rsid w:val="003D0340"/>
    <w:pPr>
      <w:numPr>
        <w:ilvl w:val="2"/>
        <w:numId w:val="12"/>
      </w:numPr>
      <w:tabs>
        <w:tab w:val="num" w:pos="1928"/>
      </w:tabs>
      <w:ind w:left="1928" w:hanging="964"/>
      <w:outlineLvl w:val="2"/>
    </w:pPr>
    <w:rPr>
      <w:rFonts w:cs="Arial"/>
      <w:bCs/>
      <w:szCs w:val="26"/>
      <w:lang w:eastAsia="en-AU"/>
    </w:rPr>
  </w:style>
  <w:style w:type="paragraph" w:styleId="Heading4">
    <w:name w:val="heading 4"/>
    <w:basedOn w:val="Normal"/>
    <w:link w:val="Heading4Char"/>
    <w:uiPriority w:val="9"/>
    <w:qFormat/>
    <w:rsid w:val="003D0340"/>
    <w:pPr>
      <w:numPr>
        <w:ilvl w:val="3"/>
        <w:numId w:val="12"/>
      </w:numPr>
      <w:tabs>
        <w:tab w:val="num" w:pos="2892"/>
      </w:tabs>
      <w:ind w:left="2892" w:hanging="964"/>
      <w:outlineLvl w:val="3"/>
    </w:pPr>
    <w:rPr>
      <w:bCs/>
      <w:szCs w:val="28"/>
      <w:lang w:eastAsia="en-AU"/>
    </w:rPr>
  </w:style>
  <w:style w:type="paragraph" w:styleId="Heading5">
    <w:name w:val="heading 5"/>
    <w:basedOn w:val="Normal"/>
    <w:link w:val="Heading5Char"/>
    <w:uiPriority w:val="9"/>
    <w:qFormat/>
    <w:rsid w:val="003D0340"/>
    <w:pPr>
      <w:numPr>
        <w:ilvl w:val="4"/>
        <w:numId w:val="12"/>
      </w:numPr>
      <w:tabs>
        <w:tab w:val="num" w:pos="3856"/>
      </w:tabs>
      <w:ind w:left="3856" w:hanging="964"/>
      <w:outlineLvl w:val="4"/>
    </w:pPr>
    <w:rPr>
      <w:bCs/>
      <w:iCs/>
      <w:szCs w:val="26"/>
      <w:lang w:eastAsia="en-AU"/>
    </w:rPr>
  </w:style>
  <w:style w:type="paragraph" w:styleId="Heading6">
    <w:name w:val="heading 6"/>
    <w:basedOn w:val="Normal"/>
    <w:link w:val="Heading6Char"/>
    <w:uiPriority w:val="9"/>
    <w:qFormat/>
    <w:rsid w:val="003D0340"/>
    <w:pPr>
      <w:numPr>
        <w:ilvl w:val="5"/>
        <w:numId w:val="12"/>
      </w:numPr>
      <w:tabs>
        <w:tab w:val="num" w:pos="4820"/>
      </w:tabs>
      <w:ind w:left="4820" w:hanging="964"/>
      <w:outlineLvl w:val="5"/>
    </w:pPr>
    <w:rPr>
      <w:bCs/>
      <w:szCs w:val="22"/>
      <w:lang w:eastAsia="en-AU"/>
    </w:rPr>
  </w:style>
  <w:style w:type="paragraph" w:styleId="Heading7">
    <w:name w:val="heading 7"/>
    <w:basedOn w:val="Normal"/>
    <w:link w:val="Heading7Char"/>
    <w:uiPriority w:val="9"/>
    <w:qFormat/>
    <w:rsid w:val="003D0340"/>
    <w:pPr>
      <w:numPr>
        <w:ilvl w:val="6"/>
        <w:numId w:val="12"/>
      </w:numPr>
      <w:tabs>
        <w:tab w:val="num" w:pos="5783"/>
      </w:tabs>
      <w:ind w:left="5783" w:hanging="963"/>
      <w:outlineLvl w:val="6"/>
    </w:pPr>
    <w:rPr>
      <w:lang w:eastAsia="en-AU"/>
    </w:rPr>
  </w:style>
  <w:style w:type="paragraph" w:styleId="Heading8">
    <w:name w:val="heading 8"/>
    <w:basedOn w:val="Normal"/>
    <w:link w:val="Heading8Char"/>
    <w:uiPriority w:val="9"/>
    <w:qFormat/>
    <w:rsid w:val="003D0340"/>
    <w:pPr>
      <w:numPr>
        <w:ilvl w:val="7"/>
        <w:numId w:val="12"/>
      </w:numPr>
      <w:tabs>
        <w:tab w:val="num" w:pos="6747"/>
      </w:tabs>
      <w:ind w:left="6747" w:hanging="964"/>
      <w:outlineLvl w:val="7"/>
    </w:pPr>
    <w:rPr>
      <w:iCs/>
      <w:lang w:eastAsia="en-AU"/>
    </w:rPr>
  </w:style>
  <w:style w:type="paragraph" w:styleId="Heading9">
    <w:name w:val="heading 9"/>
    <w:basedOn w:val="Normal"/>
    <w:next w:val="Normal"/>
    <w:link w:val="Heading9Char"/>
    <w:uiPriority w:val="9"/>
    <w:qFormat/>
    <w:rsid w:val="003D0340"/>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customStyle="1" w:styleId="AltOpt">
    <w:name w:val="AltOpt"/>
    <w:basedOn w:val="DefaultParagraphFont"/>
    <w:rsid w:val="003D0340"/>
    <w:rPr>
      <w:rFonts w:ascii="Arial" w:hAnsi="Arial" w:cs="Times New Roman"/>
      <w:b/>
      <w:color w:val="FFFF99"/>
      <w:sz w:val="22"/>
      <w:szCs w:val="22"/>
      <w:shd w:val="clear" w:color="auto" w:fill="808080"/>
    </w:rPr>
  </w:style>
  <w:style w:type="paragraph" w:customStyle="1" w:styleId="AnnexureHeading">
    <w:name w:val="Annexure Heading"/>
    <w:basedOn w:val="Normal"/>
    <w:next w:val="Normal"/>
    <w:rsid w:val="002432BB"/>
    <w:pPr>
      <w:pageBreakBefore/>
      <w:numPr>
        <w:numId w:val="6"/>
      </w:numPr>
      <w:outlineLvl w:val="0"/>
    </w:pPr>
    <w:rPr>
      <w:b/>
      <w:sz w:val="24"/>
    </w:rPr>
  </w:style>
  <w:style w:type="paragraph" w:customStyle="1" w:styleId="AttachmentHeading">
    <w:name w:val="Attachment Heading"/>
    <w:basedOn w:val="Normal"/>
    <w:next w:val="Normal"/>
    <w:rsid w:val="002432BB"/>
    <w:pPr>
      <w:pageBreakBefore/>
      <w:numPr>
        <w:numId w:val="7"/>
      </w:numPr>
      <w:outlineLvl w:val="0"/>
    </w:pPr>
    <w:rPr>
      <w:b/>
      <w:sz w:val="24"/>
      <w:szCs w:val="22"/>
    </w:rPr>
  </w:style>
  <w:style w:type="paragraph" w:customStyle="1" w:styleId="IndentParaLevel1">
    <w:name w:val="IndentParaLevel1"/>
    <w:basedOn w:val="Normal"/>
    <w:rsid w:val="002432BB"/>
    <w:pPr>
      <w:numPr>
        <w:numId w:val="10"/>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13"/>
      </w:numPr>
      <w:outlineLvl w:val="0"/>
    </w:pPr>
  </w:style>
  <w:style w:type="paragraph" w:customStyle="1" w:styleId="CUNumber2">
    <w:name w:val="CU_Number2"/>
    <w:basedOn w:val="Normal"/>
    <w:rsid w:val="003D0340"/>
    <w:pPr>
      <w:numPr>
        <w:ilvl w:val="1"/>
        <w:numId w:val="13"/>
      </w:numPr>
      <w:outlineLvl w:val="1"/>
    </w:pPr>
  </w:style>
  <w:style w:type="paragraph" w:customStyle="1" w:styleId="CUNumber3">
    <w:name w:val="CU_Number3"/>
    <w:basedOn w:val="Normal"/>
    <w:rsid w:val="003D0340"/>
    <w:pPr>
      <w:numPr>
        <w:ilvl w:val="2"/>
        <w:numId w:val="13"/>
      </w:numPr>
      <w:outlineLvl w:val="2"/>
    </w:pPr>
  </w:style>
  <w:style w:type="paragraph" w:customStyle="1" w:styleId="CUNumber4">
    <w:name w:val="CU_Number4"/>
    <w:basedOn w:val="Normal"/>
    <w:rsid w:val="003D0340"/>
    <w:pPr>
      <w:numPr>
        <w:ilvl w:val="3"/>
        <w:numId w:val="13"/>
      </w:numPr>
      <w:outlineLvl w:val="3"/>
    </w:pPr>
  </w:style>
  <w:style w:type="paragraph" w:customStyle="1" w:styleId="CUNumber5">
    <w:name w:val="CU_Number5"/>
    <w:basedOn w:val="Normal"/>
    <w:rsid w:val="003D0340"/>
    <w:pPr>
      <w:numPr>
        <w:ilvl w:val="4"/>
        <w:numId w:val="13"/>
      </w:numPr>
      <w:outlineLvl w:val="4"/>
    </w:pPr>
  </w:style>
  <w:style w:type="paragraph" w:customStyle="1" w:styleId="CUNumber6">
    <w:name w:val="CU_Number6"/>
    <w:basedOn w:val="Normal"/>
    <w:rsid w:val="003D0340"/>
    <w:pPr>
      <w:numPr>
        <w:ilvl w:val="5"/>
        <w:numId w:val="13"/>
      </w:numPr>
      <w:outlineLvl w:val="5"/>
    </w:pPr>
  </w:style>
  <w:style w:type="paragraph" w:customStyle="1" w:styleId="CUNumber7">
    <w:name w:val="CU_Number7"/>
    <w:basedOn w:val="Normal"/>
    <w:rsid w:val="003D0340"/>
    <w:pPr>
      <w:numPr>
        <w:ilvl w:val="6"/>
        <w:numId w:val="13"/>
      </w:numPr>
      <w:outlineLvl w:val="6"/>
    </w:pPr>
  </w:style>
  <w:style w:type="paragraph" w:customStyle="1" w:styleId="CUNumber8">
    <w:name w:val="CU_Number8"/>
    <w:basedOn w:val="Normal"/>
    <w:rsid w:val="003D0340"/>
    <w:pPr>
      <w:numPr>
        <w:ilvl w:val="7"/>
        <w:numId w:val="13"/>
      </w:numPr>
      <w:outlineLvl w:val="7"/>
    </w:pPr>
  </w:style>
  <w:style w:type="paragraph" w:customStyle="1" w:styleId="Definition">
    <w:name w:val="Definition"/>
    <w:basedOn w:val="Normal"/>
    <w:rsid w:val="003D0340"/>
    <w:pPr>
      <w:numPr>
        <w:numId w:val="15"/>
      </w:numPr>
    </w:pPr>
    <w:rPr>
      <w:szCs w:val="22"/>
      <w:lang w:eastAsia="en-AU"/>
    </w:rPr>
  </w:style>
  <w:style w:type="paragraph" w:customStyle="1" w:styleId="DefinitionNum2">
    <w:name w:val="DefinitionNum2"/>
    <w:basedOn w:val="Normal"/>
    <w:rsid w:val="003D0340"/>
    <w:pPr>
      <w:numPr>
        <w:ilvl w:val="1"/>
        <w:numId w:val="15"/>
      </w:numPr>
    </w:pPr>
    <w:rPr>
      <w:color w:val="000000"/>
      <w:lang w:eastAsia="en-AU"/>
    </w:rPr>
  </w:style>
  <w:style w:type="paragraph" w:customStyle="1" w:styleId="DefinitionNum3">
    <w:name w:val="DefinitionNum3"/>
    <w:basedOn w:val="Normal"/>
    <w:rsid w:val="003D0340"/>
    <w:pPr>
      <w:numPr>
        <w:ilvl w:val="2"/>
        <w:numId w:val="15"/>
      </w:numPr>
      <w:outlineLvl w:val="2"/>
    </w:pPr>
    <w:rPr>
      <w:color w:val="000000"/>
      <w:szCs w:val="22"/>
      <w:lang w:eastAsia="en-AU"/>
    </w:rPr>
  </w:style>
  <w:style w:type="paragraph" w:customStyle="1" w:styleId="DefinitionNum4">
    <w:name w:val="DefinitionNum4"/>
    <w:basedOn w:val="Normal"/>
    <w:rsid w:val="003D0340"/>
    <w:pPr>
      <w:numPr>
        <w:ilvl w:val="3"/>
        <w:numId w:val="15"/>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uiPriority w:val="99"/>
    <w:rsid w:val="003D0340"/>
    <w:rPr>
      <w:rFonts w:ascii="Arial" w:hAnsi="Arial" w:cs="Times New Roman"/>
      <w:sz w:val="20"/>
      <w:vertAlign w:val="superscript"/>
    </w:rPr>
  </w:style>
  <w:style w:type="paragraph" w:customStyle="1" w:styleId="ExhibitHeading">
    <w:name w:val="Exhibit Heading"/>
    <w:basedOn w:val="Normal"/>
    <w:next w:val="Normal"/>
    <w:rsid w:val="002432BB"/>
    <w:pPr>
      <w:pageBreakBefore/>
      <w:numPr>
        <w:numId w:val="8"/>
      </w:numPr>
      <w:outlineLvl w:val="0"/>
    </w:pPr>
    <w:rPr>
      <w:b/>
      <w:sz w:val="24"/>
    </w:rPr>
  </w:style>
  <w:style w:type="character" w:styleId="FootnoteReference">
    <w:name w:val="footnote reference"/>
    <w:basedOn w:val="DefaultParagraphFont"/>
    <w:uiPriority w:val="99"/>
    <w:rsid w:val="00A7530D"/>
    <w:rPr>
      <w:rFonts w:ascii="Arial" w:hAnsi="Arial" w:cs="Times New Roman"/>
      <w:sz w:val="18"/>
      <w:vertAlign w:val="superscript"/>
    </w:rPr>
  </w:style>
  <w:style w:type="character" w:styleId="Hyperlink">
    <w:name w:val="Hyperlink"/>
    <w:basedOn w:val="DefaultParagraphFont"/>
    <w:uiPriority w:val="99"/>
    <w:rsid w:val="003A570C"/>
    <w:rPr>
      <w:rFonts w:cs="Times New Roman"/>
      <w:color w:val="0000FF"/>
      <w:u w:val="single"/>
    </w:rPr>
  </w:style>
  <w:style w:type="character" w:customStyle="1" w:styleId="IDDVariableMarker">
    <w:name w:val="IDDVariableMarker"/>
    <w:basedOn w:val="DefaultParagraphFont"/>
    <w:rsid w:val="00FF2395"/>
    <w:rPr>
      <w:rFonts w:cs="Times New Roman"/>
      <w:b/>
    </w:rPr>
  </w:style>
  <w:style w:type="paragraph" w:customStyle="1" w:styleId="IndentParaLevel2">
    <w:name w:val="IndentParaLevel2"/>
    <w:basedOn w:val="Normal"/>
    <w:rsid w:val="002432BB"/>
    <w:pPr>
      <w:numPr>
        <w:ilvl w:val="1"/>
        <w:numId w:val="10"/>
      </w:numPr>
    </w:pPr>
  </w:style>
  <w:style w:type="paragraph" w:customStyle="1" w:styleId="IndentParaLevel3">
    <w:name w:val="IndentParaLevel3"/>
    <w:basedOn w:val="Normal"/>
    <w:rsid w:val="002432BB"/>
    <w:pPr>
      <w:numPr>
        <w:ilvl w:val="2"/>
        <w:numId w:val="10"/>
      </w:numPr>
    </w:pPr>
  </w:style>
  <w:style w:type="paragraph" w:customStyle="1" w:styleId="IndentParaLevel4">
    <w:name w:val="IndentParaLevel4"/>
    <w:basedOn w:val="Normal"/>
    <w:rsid w:val="002432BB"/>
    <w:pPr>
      <w:numPr>
        <w:ilvl w:val="3"/>
        <w:numId w:val="10"/>
      </w:numPr>
    </w:pPr>
  </w:style>
  <w:style w:type="paragraph" w:customStyle="1" w:styleId="IndentParaLevel5">
    <w:name w:val="IndentParaLevel5"/>
    <w:basedOn w:val="Normal"/>
    <w:rsid w:val="002432BB"/>
    <w:pPr>
      <w:numPr>
        <w:ilvl w:val="4"/>
        <w:numId w:val="10"/>
      </w:numPr>
    </w:pPr>
  </w:style>
  <w:style w:type="paragraph" w:customStyle="1" w:styleId="IndentParaLevel6">
    <w:name w:val="IndentParaLevel6"/>
    <w:basedOn w:val="Normal"/>
    <w:rsid w:val="002432BB"/>
    <w:pPr>
      <w:numPr>
        <w:ilvl w:val="5"/>
        <w:numId w:val="10"/>
      </w:numPr>
    </w:pPr>
  </w:style>
  <w:style w:type="paragraph" w:styleId="ListBullet">
    <w:name w:val="List Bullet"/>
    <w:basedOn w:val="Normal"/>
    <w:uiPriority w:val="99"/>
    <w:rsid w:val="002432BB"/>
    <w:pPr>
      <w:numPr>
        <w:numId w:val="11"/>
      </w:numPr>
    </w:pPr>
  </w:style>
  <w:style w:type="paragraph" w:styleId="ListBullet2">
    <w:name w:val="List Bullet 2"/>
    <w:basedOn w:val="Normal"/>
    <w:uiPriority w:val="99"/>
    <w:rsid w:val="002432BB"/>
    <w:pPr>
      <w:numPr>
        <w:ilvl w:val="1"/>
        <w:numId w:val="11"/>
      </w:numPr>
    </w:pPr>
  </w:style>
  <w:style w:type="paragraph" w:styleId="ListBullet3">
    <w:name w:val="List Bullet 3"/>
    <w:basedOn w:val="Normal"/>
    <w:uiPriority w:val="99"/>
    <w:rsid w:val="002432BB"/>
    <w:pPr>
      <w:numPr>
        <w:ilvl w:val="2"/>
        <w:numId w:val="11"/>
      </w:numPr>
    </w:pPr>
  </w:style>
  <w:style w:type="paragraph" w:styleId="ListBullet4">
    <w:name w:val="List Bullet 4"/>
    <w:basedOn w:val="Normal"/>
    <w:uiPriority w:val="99"/>
    <w:rsid w:val="002432BB"/>
    <w:pPr>
      <w:numPr>
        <w:ilvl w:val="3"/>
        <w:numId w:val="11"/>
      </w:numPr>
    </w:pPr>
  </w:style>
  <w:style w:type="paragraph" w:styleId="ListBullet5">
    <w:name w:val="List Bullet 5"/>
    <w:basedOn w:val="Normal"/>
    <w:uiPriority w:val="99"/>
    <w:rsid w:val="002432BB"/>
    <w:pPr>
      <w:numPr>
        <w:ilvl w:val="4"/>
        <w:numId w:val="11"/>
      </w:numPr>
    </w:pPr>
  </w:style>
  <w:style w:type="paragraph" w:customStyle="1" w:styleId="MinorTitleArial">
    <w:name w:val="Minor_Title_Arial"/>
    <w:next w:val="Normal"/>
    <w:rsid w:val="002432BB"/>
    <w:pPr>
      <w:spacing w:after="0"/>
    </w:pPr>
    <w:rPr>
      <w:color w:val="000000"/>
      <w:sz w:val="18"/>
      <w:szCs w:val="18"/>
    </w:rPr>
  </w:style>
  <w:style w:type="character" w:styleId="PageNumber">
    <w:name w:val="page number"/>
    <w:basedOn w:val="DefaultParagraphFont"/>
    <w:uiPriority w:val="99"/>
    <w:semiHidden/>
    <w:rsid w:val="003D0340"/>
    <w:rPr>
      <w:rFonts w:ascii="Arial" w:hAnsi="Arial" w:cs="Times New Roman"/>
      <w:sz w:val="18"/>
    </w:rPr>
  </w:style>
  <w:style w:type="paragraph" w:customStyle="1" w:styleId="ScheduleHeading">
    <w:name w:val="Schedule Heading"/>
    <w:basedOn w:val="Normal"/>
    <w:next w:val="Normal"/>
    <w:rsid w:val="003D0340"/>
    <w:pPr>
      <w:pageBreakBefore/>
      <w:numPr>
        <w:numId w:val="14"/>
      </w:numPr>
      <w:outlineLvl w:val="0"/>
    </w:pPr>
    <w:rPr>
      <w:b/>
      <w:sz w:val="24"/>
      <w:lang w:eastAsia="en-AU"/>
    </w:rPr>
  </w:style>
  <w:style w:type="paragraph" w:customStyle="1" w:styleId="Schedule1">
    <w:name w:val="Schedule_1"/>
    <w:basedOn w:val="Normal"/>
    <w:next w:val="IndentParaLevel1"/>
    <w:rsid w:val="003D0340"/>
    <w:pPr>
      <w:keepNext/>
      <w:numPr>
        <w:ilvl w:val="1"/>
        <w:numId w:val="14"/>
      </w:numPr>
      <w:pBdr>
        <w:top w:val="single" w:sz="12" w:space="1" w:color="auto"/>
      </w:pBdr>
      <w:tabs>
        <w:tab w:val="num" w:pos="964"/>
      </w:tabs>
      <w:ind w:left="964"/>
      <w:outlineLvl w:val="0"/>
    </w:pPr>
    <w:rPr>
      <w:b/>
      <w:sz w:val="28"/>
      <w:lang w:eastAsia="en-AU"/>
    </w:rPr>
  </w:style>
  <w:style w:type="paragraph" w:customStyle="1" w:styleId="Schedule2">
    <w:name w:val="Schedule_2"/>
    <w:basedOn w:val="Normal"/>
    <w:next w:val="IndentParaLevel1"/>
    <w:rsid w:val="003D0340"/>
    <w:pPr>
      <w:keepNext/>
      <w:numPr>
        <w:ilvl w:val="2"/>
        <w:numId w:val="14"/>
      </w:numPr>
      <w:tabs>
        <w:tab w:val="num" w:pos="964"/>
      </w:tabs>
      <w:ind w:left="964"/>
      <w:outlineLvl w:val="1"/>
    </w:pPr>
    <w:rPr>
      <w:b/>
      <w:sz w:val="24"/>
      <w:lang w:eastAsia="en-AU"/>
    </w:rPr>
  </w:style>
  <w:style w:type="paragraph" w:customStyle="1" w:styleId="Schedule3">
    <w:name w:val="Schedule_3"/>
    <w:basedOn w:val="Normal"/>
    <w:rsid w:val="003D0340"/>
    <w:pPr>
      <w:numPr>
        <w:ilvl w:val="3"/>
        <w:numId w:val="14"/>
      </w:numPr>
      <w:tabs>
        <w:tab w:val="num" w:pos="1928"/>
      </w:tabs>
      <w:ind w:left="1928"/>
      <w:outlineLvl w:val="2"/>
    </w:pPr>
    <w:rPr>
      <w:lang w:eastAsia="en-AU"/>
    </w:rPr>
  </w:style>
  <w:style w:type="paragraph" w:customStyle="1" w:styleId="Schedule4">
    <w:name w:val="Schedule_4"/>
    <w:basedOn w:val="Normal"/>
    <w:rsid w:val="003D0340"/>
    <w:pPr>
      <w:numPr>
        <w:ilvl w:val="4"/>
        <w:numId w:val="14"/>
      </w:numPr>
      <w:tabs>
        <w:tab w:val="num" w:pos="2892"/>
      </w:tabs>
      <w:ind w:left="2892"/>
      <w:outlineLvl w:val="3"/>
    </w:pPr>
    <w:rPr>
      <w:lang w:eastAsia="en-AU"/>
    </w:rPr>
  </w:style>
  <w:style w:type="paragraph" w:customStyle="1" w:styleId="Schedule5">
    <w:name w:val="Schedule_5"/>
    <w:basedOn w:val="Normal"/>
    <w:rsid w:val="003D0340"/>
    <w:pPr>
      <w:numPr>
        <w:ilvl w:val="5"/>
        <w:numId w:val="14"/>
      </w:numPr>
      <w:tabs>
        <w:tab w:val="num" w:pos="3856"/>
      </w:tabs>
      <w:ind w:left="3856"/>
      <w:outlineLvl w:val="5"/>
    </w:pPr>
    <w:rPr>
      <w:lang w:eastAsia="en-AU"/>
    </w:rPr>
  </w:style>
  <w:style w:type="paragraph" w:customStyle="1" w:styleId="Schedule6">
    <w:name w:val="Schedule_6"/>
    <w:basedOn w:val="Normal"/>
    <w:rsid w:val="003D0340"/>
    <w:pPr>
      <w:numPr>
        <w:ilvl w:val="6"/>
        <w:numId w:val="14"/>
      </w:numPr>
      <w:tabs>
        <w:tab w:val="num" w:pos="4820"/>
      </w:tabs>
      <w:ind w:left="4820" w:hanging="964"/>
      <w:outlineLvl w:val="6"/>
    </w:pPr>
    <w:rPr>
      <w:lang w:eastAsia="en-AU"/>
    </w:rPr>
  </w:style>
  <w:style w:type="paragraph" w:customStyle="1" w:styleId="Schedule7">
    <w:name w:val="Schedule_7"/>
    <w:basedOn w:val="Normal"/>
    <w:rsid w:val="003D0340"/>
    <w:pPr>
      <w:numPr>
        <w:ilvl w:val="7"/>
        <w:numId w:val="14"/>
      </w:numPr>
      <w:tabs>
        <w:tab w:val="num" w:pos="5783"/>
      </w:tabs>
      <w:ind w:left="5783" w:hanging="963"/>
      <w:outlineLvl w:val="7"/>
    </w:pPr>
    <w:rPr>
      <w:lang w:eastAsia="en-AU"/>
    </w:rPr>
  </w:style>
  <w:style w:type="paragraph" w:customStyle="1" w:styleId="Schedule8">
    <w:name w:val="Schedule_8"/>
    <w:basedOn w:val="Normal"/>
    <w:rsid w:val="003D0340"/>
    <w:pPr>
      <w:numPr>
        <w:ilvl w:val="8"/>
        <w:numId w:val="14"/>
      </w:numPr>
      <w:tabs>
        <w:tab w:val="num" w:pos="6747"/>
      </w:tabs>
      <w:ind w:left="6747" w:hanging="964"/>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uiPriority w:val="39"/>
    <w:semiHidden/>
    <w:rsid w:val="00FF2395"/>
    <w:pPr>
      <w:ind w:left="440"/>
    </w:pPr>
  </w:style>
  <w:style w:type="paragraph" w:styleId="TOC4">
    <w:name w:val="toc 4"/>
    <w:basedOn w:val="Normal"/>
    <w:next w:val="Normal"/>
    <w:autoRedefine/>
    <w:uiPriority w:val="39"/>
    <w:semiHidden/>
    <w:rsid w:val="00FF2395"/>
    <w:pPr>
      <w:ind w:left="660"/>
    </w:pPr>
  </w:style>
  <w:style w:type="paragraph" w:styleId="TOC5">
    <w:name w:val="toc 5"/>
    <w:basedOn w:val="Normal"/>
    <w:next w:val="Normal"/>
    <w:autoRedefine/>
    <w:uiPriority w:val="39"/>
    <w:semiHidden/>
    <w:rsid w:val="00FF2395"/>
    <w:pPr>
      <w:ind w:left="880"/>
    </w:pPr>
  </w:style>
  <w:style w:type="paragraph" w:styleId="TOC6">
    <w:name w:val="toc 6"/>
    <w:basedOn w:val="Normal"/>
    <w:next w:val="Normal"/>
    <w:autoRedefine/>
    <w:uiPriority w:val="39"/>
    <w:semiHidden/>
    <w:rsid w:val="00FF2395"/>
    <w:pPr>
      <w:ind w:left="1100"/>
    </w:pPr>
  </w:style>
  <w:style w:type="paragraph" w:styleId="TOC7">
    <w:name w:val="toc 7"/>
    <w:basedOn w:val="Normal"/>
    <w:next w:val="Normal"/>
    <w:autoRedefine/>
    <w:uiPriority w:val="39"/>
    <w:semiHidden/>
    <w:rsid w:val="00FF2395"/>
    <w:pPr>
      <w:ind w:left="1320"/>
    </w:pPr>
  </w:style>
  <w:style w:type="paragraph" w:styleId="TOC8">
    <w:name w:val="toc 8"/>
    <w:basedOn w:val="Normal"/>
    <w:next w:val="Normal"/>
    <w:autoRedefine/>
    <w:uiPriority w:val="39"/>
    <w:semiHidden/>
    <w:rsid w:val="00FF2395"/>
    <w:pPr>
      <w:ind w:left="1540"/>
    </w:pPr>
  </w:style>
  <w:style w:type="paragraph" w:styleId="TOC9">
    <w:name w:val="toc 9"/>
    <w:basedOn w:val="Normal"/>
    <w:next w:val="Normal"/>
    <w:uiPriority w:val="39"/>
    <w:semiHidden/>
    <w:rsid w:val="00FF2395"/>
    <w:pPr>
      <w:ind w:left="1758"/>
    </w:pPr>
  </w:style>
  <w:style w:type="paragraph" w:customStyle="1" w:styleId="TOCHeader">
    <w:name w:val="TOCHeader"/>
    <w:basedOn w:val="Normal"/>
    <w:rsid w:val="002432BB"/>
    <w:pPr>
      <w:keepNext/>
    </w:pPr>
    <w:rPr>
      <w:b/>
      <w:sz w:val="24"/>
    </w:rPr>
  </w:style>
  <w:style w:type="paragraph" w:customStyle="1" w:styleId="CUTable1">
    <w:name w:val="CU_Table1"/>
    <w:basedOn w:val="Normal"/>
    <w:rsid w:val="003D0340"/>
    <w:pPr>
      <w:numPr>
        <w:numId w:val="12"/>
      </w:numPr>
      <w:outlineLvl w:val="0"/>
    </w:pPr>
  </w:style>
  <w:style w:type="paragraph" w:customStyle="1" w:styleId="CUTable2">
    <w:name w:val="CU_Table2"/>
    <w:basedOn w:val="Normal"/>
    <w:rsid w:val="003D0340"/>
    <w:pPr>
      <w:numPr>
        <w:ilvl w:val="1"/>
        <w:numId w:val="12"/>
      </w:numPr>
      <w:outlineLvl w:val="2"/>
    </w:pPr>
  </w:style>
  <w:style w:type="paragraph" w:customStyle="1" w:styleId="CUTable3">
    <w:name w:val="CU_Table3"/>
    <w:basedOn w:val="Normal"/>
    <w:rsid w:val="003D0340"/>
    <w:pPr>
      <w:numPr>
        <w:ilvl w:val="2"/>
        <w:numId w:val="12"/>
      </w:numPr>
      <w:outlineLvl w:val="3"/>
    </w:pPr>
  </w:style>
  <w:style w:type="paragraph" w:customStyle="1" w:styleId="CUTable4">
    <w:name w:val="CU_Table4"/>
    <w:basedOn w:val="Normal"/>
    <w:rsid w:val="003D0340"/>
    <w:pPr>
      <w:numPr>
        <w:ilvl w:val="3"/>
        <w:numId w:val="12"/>
      </w:numPr>
      <w:outlineLvl w:val="4"/>
    </w:pPr>
  </w:style>
  <w:style w:type="paragraph" w:styleId="Header">
    <w:name w:val="header"/>
    <w:basedOn w:val="Normal"/>
    <w:link w:val="HeaderChar"/>
    <w:uiPriority w:val="99"/>
    <w:unhideWhenUsed/>
    <w:rsid w:val="006B0E85"/>
    <w:pPr>
      <w:tabs>
        <w:tab w:val="center" w:pos="4513"/>
        <w:tab w:val="right" w:pos="9026"/>
      </w:tabs>
    </w:pPr>
  </w:style>
  <w:style w:type="character" w:customStyle="1" w:styleId="HeaderChar">
    <w:name w:val="Header Char"/>
    <w:basedOn w:val="DefaultParagraphFont"/>
    <w:link w:val="Header"/>
    <w:uiPriority w:val="99"/>
    <w:locked/>
    <w:rsid w:val="006B0E85"/>
    <w:rPr>
      <w:rFonts w:ascii="Times New Roman" w:hAnsi="Times New Roman" w:cs="Times New Roman"/>
      <w:sz w:val="24"/>
      <w:szCs w:val="24"/>
    </w:rPr>
  </w:style>
  <w:style w:type="paragraph" w:styleId="Footer">
    <w:name w:val="footer"/>
    <w:basedOn w:val="Normal"/>
    <w:link w:val="FooterChar"/>
    <w:uiPriority w:val="99"/>
    <w:unhideWhenUsed/>
    <w:rsid w:val="00524805"/>
    <w:pPr>
      <w:spacing w:after="0"/>
    </w:pPr>
    <w:rPr>
      <w:sz w:val="18"/>
    </w:rPr>
  </w:style>
  <w:style w:type="character" w:customStyle="1" w:styleId="FooterChar">
    <w:name w:val="Footer Char"/>
    <w:basedOn w:val="DefaultParagraphFont"/>
    <w:link w:val="Footer"/>
    <w:uiPriority w:val="99"/>
    <w:locked/>
    <w:rsid w:val="00524805"/>
    <w:rPr>
      <w:rFonts w:cs="Times New Roman"/>
      <w:sz w:val="18"/>
    </w:rPr>
  </w:style>
  <w:style w:type="paragraph" w:styleId="Title">
    <w:name w:val="Title"/>
    <w:basedOn w:val="Normal"/>
    <w:link w:val="TitleChar"/>
    <w:uiPriority w:val="10"/>
    <w:qFormat/>
    <w:rsid w:val="003A570C"/>
    <w:pPr>
      <w:keepNext/>
    </w:pPr>
    <w:rPr>
      <w:rFonts w:cs="Arial"/>
      <w:b/>
      <w:bCs/>
      <w:sz w:val="28"/>
      <w:szCs w:val="32"/>
    </w:rPr>
  </w:style>
  <w:style w:type="character" w:customStyle="1" w:styleId="TitleChar">
    <w:name w:val="Title Char"/>
    <w:basedOn w:val="DefaultParagraphFont"/>
    <w:link w:val="Title"/>
    <w:uiPriority w:val="10"/>
    <w:locked/>
    <w:rsid w:val="003A570C"/>
    <w:rPr>
      <w:rFonts w:ascii="Arial" w:hAnsi="Arial" w:cs="Arial"/>
      <w:b/>
      <w:bCs/>
      <w:sz w:val="32"/>
      <w:szCs w:val="32"/>
    </w:rPr>
  </w:style>
  <w:style w:type="paragraph" w:styleId="Subtitle">
    <w:name w:val="Subtitle"/>
    <w:basedOn w:val="Normal"/>
    <w:link w:val="SubtitleChar"/>
    <w:uiPriority w:val="11"/>
    <w:qFormat/>
    <w:rsid w:val="003A570C"/>
    <w:pPr>
      <w:keepNext/>
    </w:pPr>
    <w:rPr>
      <w:rFonts w:cs="Arial"/>
      <w:b/>
      <w:sz w:val="24"/>
    </w:rPr>
  </w:style>
  <w:style w:type="character" w:customStyle="1" w:styleId="SubtitleChar">
    <w:name w:val="Subtitle Char"/>
    <w:basedOn w:val="DefaultParagraphFont"/>
    <w:link w:val="Subtitle"/>
    <w:uiPriority w:val="11"/>
    <w:locked/>
    <w:rsid w:val="003A570C"/>
    <w:rPr>
      <w:rFonts w:ascii="Arial" w:hAnsi="Arial" w:cs="Arial"/>
      <w:b/>
      <w:sz w:val="24"/>
      <w:szCs w:val="24"/>
    </w:rPr>
  </w:style>
  <w:style w:type="paragraph" w:styleId="EndnoteText">
    <w:name w:val="endnote text"/>
    <w:basedOn w:val="Normal"/>
    <w:link w:val="EndnoteTextChar"/>
    <w:uiPriority w:val="99"/>
    <w:rsid w:val="003A570C"/>
  </w:style>
  <w:style w:type="character" w:customStyle="1" w:styleId="EndnoteTextChar">
    <w:name w:val="Endnote Text Char"/>
    <w:basedOn w:val="DefaultParagraphFont"/>
    <w:link w:val="EndnoteText"/>
    <w:uiPriority w:val="99"/>
    <w:locked/>
    <w:rsid w:val="003A570C"/>
    <w:rPr>
      <w:rFonts w:ascii="Times New Roman" w:hAnsi="Times New Roman" w:cs="Times New Roman"/>
      <w:sz w:val="20"/>
      <w:szCs w:val="20"/>
    </w:rPr>
  </w:style>
  <w:style w:type="paragraph" w:styleId="FootnoteText">
    <w:name w:val="footnote text"/>
    <w:basedOn w:val="Normal"/>
    <w:link w:val="FootnoteTextChar"/>
    <w:uiPriority w:val="99"/>
    <w:rsid w:val="00A7530D"/>
    <w:rPr>
      <w:sz w:val="18"/>
    </w:rPr>
  </w:style>
  <w:style w:type="character" w:customStyle="1" w:styleId="FootnoteTextChar">
    <w:name w:val="Footnote Text Char"/>
    <w:basedOn w:val="DefaultParagraphFont"/>
    <w:link w:val="FootnoteText"/>
    <w:uiPriority w:val="99"/>
    <w:locked/>
    <w:rsid w:val="00A7530D"/>
    <w:rPr>
      <w:rFonts w:cs="Times New Roman"/>
      <w:sz w:val="18"/>
    </w:rPr>
  </w:style>
  <w:style w:type="paragraph" w:customStyle="1" w:styleId="CUTable5">
    <w:name w:val="CU_Table5"/>
    <w:basedOn w:val="Normal"/>
    <w:rsid w:val="003D0340"/>
    <w:pPr>
      <w:numPr>
        <w:ilvl w:val="4"/>
        <w:numId w:val="12"/>
      </w:numPr>
      <w:outlineLvl w:val="4"/>
    </w:pPr>
  </w:style>
  <w:style w:type="table" w:styleId="TableGrid">
    <w:name w:val="Table Grid"/>
    <w:basedOn w:val="TableNormal"/>
    <w:uiPriority w:val="59"/>
    <w:rsid w:val="00524805"/>
    <w:pPr>
      <w:spacing w:before="120" w:after="12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locked/>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bCs/>
      <w:sz w:val="40"/>
      <w:szCs w:val="40"/>
    </w:rPr>
  </w:style>
  <w:style w:type="paragraph" w:customStyle="1" w:styleId="CUTableBullet1">
    <w:name w:val="CU_Table Bullet1"/>
    <w:basedOn w:val="Normal"/>
    <w:qFormat/>
    <w:rsid w:val="0048035C"/>
    <w:pPr>
      <w:numPr>
        <w:numId w:val="20"/>
      </w:numPr>
    </w:pPr>
  </w:style>
  <w:style w:type="paragraph" w:customStyle="1" w:styleId="CUTableBullet2">
    <w:name w:val="CU_Table Bullet2"/>
    <w:basedOn w:val="Normal"/>
    <w:qFormat/>
    <w:rsid w:val="0048035C"/>
    <w:pPr>
      <w:numPr>
        <w:ilvl w:val="1"/>
        <w:numId w:val="20"/>
      </w:numPr>
    </w:pPr>
  </w:style>
  <w:style w:type="paragraph" w:customStyle="1" w:styleId="CUTableBullet3">
    <w:name w:val="CU_Table Bullet3"/>
    <w:basedOn w:val="Normal"/>
    <w:qFormat/>
    <w:rsid w:val="0048035C"/>
    <w:pPr>
      <w:numPr>
        <w:ilvl w:val="2"/>
        <w:numId w:val="20"/>
      </w:numPr>
    </w:pPr>
  </w:style>
  <w:style w:type="paragraph" w:customStyle="1" w:styleId="CUTableIndent1">
    <w:name w:val="CU_Table Indent1"/>
    <w:basedOn w:val="Normal"/>
    <w:qFormat/>
    <w:rsid w:val="004E0636"/>
    <w:pPr>
      <w:numPr>
        <w:numId w:val="21"/>
      </w:numPr>
    </w:pPr>
  </w:style>
  <w:style w:type="paragraph" w:customStyle="1" w:styleId="CUTableIndent2">
    <w:name w:val="CU_Table Indent2"/>
    <w:basedOn w:val="Normal"/>
    <w:qFormat/>
    <w:rsid w:val="004E0636"/>
    <w:pPr>
      <w:numPr>
        <w:ilvl w:val="1"/>
        <w:numId w:val="21"/>
      </w:numPr>
    </w:pPr>
  </w:style>
  <w:style w:type="paragraph" w:customStyle="1" w:styleId="CUTableIndent3">
    <w:name w:val="CU_Table Indent3"/>
    <w:basedOn w:val="Normal"/>
    <w:qFormat/>
    <w:rsid w:val="004E0636"/>
    <w:pPr>
      <w:numPr>
        <w:ilvl w:val="2"/>
        <w:numId w:val="21"/>
      </w:numPr>
    </w:pPr>
  </w:style>
  <w:style w:type="paragraph" w:styleId="ListParagraph">
    <w:name w:val="List Paragraph"/>
    <w:basedOn w:val="Normal"/>
    <w:uiPriority w:val="34"/>
    <w:rsid w:val="00724655"/>
    <w:pPr>
      <w:ind w:left="720"/>
      <w:contextualSpacing/>
    </w:pPr>
  </w:style>
  <w:style w:type="paragraph" w:customStyle="1" w:styleId="subsection">
    <w:name w:val="subsection"/>
    <w:basedOn w:val="Normal"/>
    <w:rsid w:val="00E95BA0"/>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E95BA0"/>
    <w:pPr>
      <w:spacing w:before="100" w:beforeAutospacing="1" w:after="100" w:afterAutospacing="1"/>
    </w:pPr>
    <w:rPr>
      <w:rFonts w:ascii="Times New Roman" w:hAnsi="Times New Roman"/>
      <w:sz w:val="24"/>
      <w:szCs w:val="24"/>
      <w:lang w:eastAsia="en-AU"/>
    </w:rPr>
  </w:style>
  <w:style w:type="character" w:customStyle="1" w:styleId="label">
    <w:name w:val="label"/>
    <w:basedOn w:val="DefaultParagraphFont"/>
    <w:rsid w:val="00383EA0"/>
    <w:rPr>
      <w:rFonts w:cs="Times New Roman"/>
    </w:rPr>
  </w:style>
  <w:style w:type="paragraph" w:customStyle="1" w:styleId="subprov">
    <w:name w:val="subprov"/>
    <w:basedOn w:val="Normal"/>
    <w:rsid w:val="00383EA0"/>
    <w:pPr>
      <w:spacing w:before="100" w:beforeAutospacing="1" w:after="100" w:afterAutospacing="1"/>
    </w:pPr>
    <w:rPr>
      <w:rFonts w:ascii="Times New Roman" w:hAnsi="Times New Roman"/>
      <w:sz w:val="24"/>
      <w:szCs w:val="24"/>
      <w:lang w:eastAsia="ja-JP"/>
    </w:rPr>
  </w:style>
  <w:style w:type="paragraph" w:customStyle="1" w:styleId="text">
    <w:name w:val="text"/>
    <w:basedOn w:val="Normal"/>
    <w:rsid w:val="00383EA0"/>
    <w:pPr>
      <w:spacing w:before="100" w:beforeAutospacing="1" w:after="100" w:afterAutospacing="1"/>
    </w:pPr>
    <w:rPr>
      <w:rFonts w:ascii="Times New Roman" w:hAnsi="Times New Roman"/>
      <w:sz w:val="24"/>
      <w:szCs w:val="24"/>
      <w:lang w:eastAsia="ja-JP"/>
    </w:rPr>
  </w:style>
  <w:style w:type="character" w:customStyle="1" w:styleId="apple-converted-space">
    <w:name w:val="apple-converted-space"/>
    <w:basedOn w:val="DefaultParagraphFont"/>
    <w:rsid w:val="00383EA0"/>
    <w:rPr>
      <w:rFonts w:cs="Times New Roman"/>
    </w:rPr>
  </w:style>
  <w:style w:type="paragraph" w:customStyle="1" w:styleId="paragraphsub">
    <w:name w:val="paragraphsub"/>
    <w:basedOn w:val="Normal"/>
    <w:rsid w:val="00A70D50"/>
    <w:pPr>
      <w:spacing w:before="100" w:beforeAutospacing="1" w:after="100" w:afterAutospacing="1"/>
    </w:pPr>
    <w:rPr>
      <w:rFonts w:ascii="Times New Roman" w:hAnsi="Times New Roman"/>
      <w:sz w:val="24"/>
      <w:szCs w:val="24"/>
      <w:lang w:eastAsia="ja-JP"/>
    </w:rPr>
  </w:style>
  <w:style w:type="character" w:styleId="Strong">
    <w:name w:val="Strong"/>
    <w:basedOn w:val="DefaultParagraphFont"/>
    <w:uiPriority w:val="22"/>
    <w:qFormat/>
    <w:rsid w:val="00B44EA2"/>
    <w:rPr>
      <w:rFonts w:cs="Times New Roman"/>
      <w:b/>
      <w:bCs/>
    </w:rPr>
  </w:style>
  <w:style w:type="paragraph" w:customStyle="1" w:styleId="legclearfix">
    <w:name w:val="legclearfix"/>
    <w:basedOn w:val="Normal"/>
    <w:rsid w:val="00020E1B"/>
    <w:pPr>
      <w:spacing w:before="100" w:beforeAutospacing="1" w:after="100" w:afterAutospacing="1"/>
    </w:pPr>
    <w:rPr>
      <w:rFonts w:ascii="Times New Roman" w:hAnsi="Times New Roman"/>
      <w:sz w:val="24"/>
      <w:szCs w:val="24"/>
      <w:lang w:eastAsia="en-AU"/>
    </w:rPr>
  </w:style>
  <w:style w:type="character" w:customStyle="1" w:styleId="legds">
    <w:name w:val="legds"/>
    <w:basedOn w:val="DefaultParagraphFont"/>
    <w:rsid w:val="00020E1B"/>
    <w:rPr>
      <w:rFonts w:cs="Times New Roman"/>
    </w:rPr>
  </w:style>
  <w:style w:type="numbering" w:customStyle="1" w:styleId="CUNumber">
    <w:name w:val="CU_Number"/>
    <w:pPr>
      <w:numPr>
        <w:numId w:val="9"/>
      </w:numPr>
    </w:pPr>
  </w:style>
  <w:style w:type="numbering" w:customStyle="1" w:styleId="CUTableBullet">
    <w:name w:val="CUTable Bullet"/>
    <w:pPr>
      <w:numPr>
        <w:numId w:val="20"/>
      </w:numPr>
    </w:pPr>
  </w:style>
  <w:style w:type="numbering" w:customStyle="1" w:styleId="CUSchedule">
    <w:name w:val="CU_Schedule"/>
    <w:pPr>
      <w:numPr>
        <w:numId w:val="18"/>
      </w:numPr>
    </w:pPr>
  </w:style>
  <w:style w:type="numbering" w:customStyle="1" w:styleId="CUIndent">
    <w:name w:val="CU_Indent"/>
    <w:pPr>
      <w:numPr>
        <w:numId w:val="10"/>
      </w:numPr>
    </w:pPr>
  </w:style>
  <w:style w:type="numbering" w:customStyle="1" w:styleId="CUTable">
    <w:name w:val="CU_Table"/>
    <w:pPr>
      <w:numPr>
        <w:numId w:val="12"/>
      </w:numPr>
    </w:pPr>
  </w:style>
  <w:style w:type="numbering" w:customStyle="1" w:styleId="CUHeading">
    <w:name w:val="CU_Heading"/>
    <w:pPr>
      <w:numPr>
        <w:numId w:val="16"/>
      </w:numPr>
    </w:pPr>
  </w:style>
  <w:style w:type="numbering" w:customStyle="1" w:styleId="CUDefinitions">
    <w:name w:val="CU_Definitions"/>
    <w:pPr>
      <w:numPr>
        <w:numId w:val="14"/>
      </w:numPr>
    </w:pPr>
  </w:style>
  <w:style w:type="numbering" w:customStyle="1" w:styleId="CUBullet">
    <w:name w:val="CU_Bullet"/>
    <w:pPr>
      <w:numPr>
        <w:numId w:val="11"/>
      </w:numPr>
    </w:pPr>
  </w:style>
  <w:style w:type="numbering" w:customStyle="1" w:styleId="CUTableIndent">
    <w:name w:val="CUTableInden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4125">
      <w:marLeft w:val="0"/>
      <w:marRight w:val="0"/>
      <w:marTop w:val="0"/>
      <w:marBottom w:val="0"/>
      <w:divBdr>
        <w:top w:val="none" w:sz="0" w:space="0" w:color="auto"/>
        <w:left w:val="none" w:sz="0" w:space="0" w:color="auto"/>
        <w:bottom w:val="none" w:sz="0" w:space="0" w:color="auto"/>
        <w:right w:val="none" w:sz="0" w:space="0" w:color="auto"/>
      </w:divBdr>
    </w:div>
    <w:div w:id="1993874126">
      <w:marLeft w:val="0"/>
      <w:marRight w:val="0"/>
      <w:marTop w:val="0"/>
      <w:marBottom w:val="0"/>
      <w:divBdr>
        <w:top w:val="none" w:sz="0" w:space="0" w:color="auto"/>
        <w:left w:val="none" w:sz="0" w:space="0" w:color="auto"/>
        <w:bottom w:val="none" w:sz="0" w:space="0" w:color="auto"/>
        <w:right w:val="none" w:sz="0" w:space="0" w:color="auto"/>
      </w:divBdr>
    </w:div>
    <w:div w:id="1993874128">
      <w:marLeft w:val="0"/>
      <w:marRight w:val="0"/>
      <w:marTop w:val="0"/>
      <w:marBottom w:val="0"/>
      <w:divBdr>
        <w:top w:val="none" w:sz="0" w:space="0" w:color="auto"/>
        <w:left w:val="none" w:sz="0" w:space="0" w:color="auto"/>
        <w:bottom w:val="none" w:sz="0" w:space="0" w:color="auto"/>
        <w:right w:val="none" w:sz="0" w:space="0" w:color="auto"/>
      </w:divBdr>
    </w:div>
    <w:div w:id="1993874129">
      <w:marLeft w:val="0"/>
      <w:marRight w:val="0"/>
      <w:marTop w:val="0"/>
      <w:marBottom w:val="0"/>
      <w:divBdr>
        <w:top w:val="none" w:sz="0" w:space="0" w:color="auto"/>
        <w:left w:val="none" w:sz="0" w:space="0" w:color="auto"/>
        <w:bottom w:val="none" w:sz="0" w:space="0" w:color="auto"/>
        <w:right w:val="none" w:sz="0" w:space="0" w:color="auto"/>
      </w:divBdr>
    </w:div>
    <w:div w:id="1993874130">
      <w:marLeft w:val="0"/>
      <w:marRight w:val="0"/>
      <w:marTop w:val="0"/>
      <w:marBottom w:val="0"/>
      <w:divBdr>
        <w:top w:val="none" w:sz="0" w:space="0" w:color="auto"/>
        <w:left w:val="none" w:sz="0" w:space="0" w:color="auto"/>
        <w:bottom w:val="none" w:sz="0" w:space="0" w:color="auto"/>
        <w:right w:val="none" w:sz="0" w:space="0" w:color="auto"/>
      </w:divBdr>
    </w:div>
    <w:div w:id="1993874131">
      <w:marLeft w:val="0"/>
      <w:marRight w:val="0"/>
      <w:marTop w:val="0"/>
      <w:marBottom w:val="0"/>
      <w:divBdr>
        <w:top w:val="none" w:sz="0" w:space="0" w:color="auto"/>
        <w:left w:val="none" w:sz="0" w:space="0" w:color="auto"/>
        <w:bottom w:val="none" w:sz="0" w:space="0" w:color="auto"/>
        <w:right w:val="none" w:sz="0" w:space="0" w:color="auto"/>
      </w:divBdr>
    </w:div>
    <w:div w:id="1993874132">
      <w:marLeft w:val="0"/>
      <w:marRight w:val="0"/>
      <w:marTop w:val="0"/>
      <w:marBottom w:val="0"/>
      <w:divBdr>
        <w:top w:val="none" w:sz="0" w:space="0" w:color="auto"/>
        <w:left w:val="none" w:sz="0" w:space="0" w:color="auto"/>
        <w:bottom w:val="none" w:sz="0" w:space="0" w:color="auto"/>
        <w:right w:val="none" w:sz="0" w:space="0" w:color="auto"/>
      </w:divBdr>
    </w:div>
    <w:div w:id="1993874133">
      <w:marLeft w:val="0"/>
      <w:marRight w:val="0"/>
      <w:marTop w:val="0"/>
      <w:marBottom w:val="0"/>
      <w:divBdr>
        <w:top w:val="none" w:sz="0" w:space="0" w:color="auto"/>
        <w:left w:val="none" w:sz="0" w:space="0" w:color="auto"/>
        <w:bottom w:val="none" w:sz="0" w:space="0" w:color="auto"/>
        <w:right w:val="none" w:sz="0" w:space="0" w:color="auto"/>
      </w:divBdr>
    </w:div>
    <w:div w:id="1993874139">
      <w:marLeft w:val="0"/>
      <w:marRight w:val="0"/>
      <w:marTop w:val="0"/>
      <w:marBottom w:val="0"/>
      <w:divBdr>
        <w:top w:val="none" w:sz="0" w:space="0" w:color="auto"/>
        <w:left w:val="none" w:sz="0" w:space="0" w:color="auto"/>
        <w:bottom w:val="none" w:sz="0" w:space="0" w:color="auto"/>
        <w:right w:val="none" w:sz="0" w:space="0" w:color="auto"/>
      </w:divBdr>
    </w:div>
    <w:div w:id="1993874141">
      <w:marLeft w:val="0"/>
      <w:marRight w:val="0"/>
      <w:marTop w:val="0"/>
      <w:marBottom w:val="0"/>
      <w:divBdr>
        <w:top w:val="none" w:sz="0" w:space="0" w:color="auto"/>
        <w:left w:val="none" w:sz="0" w:space="0" w:color="auto"/>
        <w:bottom w:val="none" w:sz="0" w:space="0" w:color="auto"/>
        <w:right w:val="none" w:sz="0" w:space="0" w:color="auto"/>
      </w:divBdr>
    </w:div>
    <w:div w:id="1993874142">
      <w:marLeft w:val="0"/>
      <w:marRight w:val="0"/>
      <w:marTop w:val="0"/>
      <w:marBottom w:val="0"/>
      <w:divBdr>
        <w:top w:val="none" w:sz="0" w:space="0" w:color="auto"/>
        <w:left w:val="none" w:sz="0" w:space="0" w:color="auto"/>
        <w:bottom w:val="none" w:sz="0" w:space="0" w:color="auto"/>
        <w:right w:val="none" w:sz="0" w:space="0" w:color="auto"/>
      </w:divBdr>
    </w:div>
    <w:div w:id="1993874143">
      <w:marLeft w:val="0"/>
      <w:marRight w:val="0"/>
      <w:marTop w:val="0"/>
      <w:marBottom w:val="0"/>
      <w:divBdr>
        <w:top w:val="none" w:sz="0" w:space="0" w:color="auto"/>
        <w:left w:val="none" w:sz="0" w:space="0" w:color="auto"/>
        <w:bottom w:val="none" w:sz="0" w:space="0" w:color="auto"/>
        <w:right w:val="none" w:sz="0" w:space="0" w:color="auto"/>
      </w:divBdr>
      <w:divsChild>
        <w:div w:id="1993874124">
          <w:marLeft w:val="0"/>
          <w:marRight w:val="0"/>
          <w:marTop w:val="83"/>
          <w:marBottom w:val="0"/>
          <w:divBdr>
            <w:top w:val="none" w:sz="0" w:space="0" w:color="auto"/>
            <w:left w:val="none" w:sz="0" w:space="0" w:color="auto"/>
            <w:bottom w:val="none" w:sz="0" w:space="0" w:color="auto"/>
            <w:right w:val="none" w:sz="0" w:space="0" w:color="auto"/>
          </w:divBdr>
          <w:divsChild>
            <w:div w:id="1993874134">
              <w:marLeft w:val="0"/>
              <w:marRight w:val="0"/>
              <w:marTop w:val="83"/>
              <w:marBottom w:val="0"/>
              <w:divBdr>
                <w:top w:val="none" w:sz="0" w:space="0" w:color="auto"/>
                <w:left w:val="none" w:sz="0" w:space="0" w:color="auto"/>
                <w:bottom w:val="none" w:sz="0" w:space="0" w:color="auto"/>
                <w:right w:val="none" w:sz="0" w:space="0" w:color="auto"/>
              </w:divBdr>
            </w:div>
            <w:div w:id="1993874135">
              <w:marLeft w:val="0"/>
              <w:marRight w:val="0"/>
              <w:marTop w:val="83"/>
              <w:marBottom w:val="0"/>
              <w:divBdr>
                <w:top w:val="none" w:sz="0" w:space="0" w:color="auto"/>
                <w:left w:val="none" w:sz="0" w:space="0" w:color="auto"/>
                <w:bottom w:val="none" w:sz="0" w:space="0" w:color="auto"/>
                <w:right w:val="none" w:sz="0" w:space="0" w:color="auto"/>
              </w:divBdr>
            </w:div>
            <w:div w:id="1993874136">
              <w:marLeft w:val="0"/>
              <w:marRight w:val="0"/>
              <w:marTop w:val="83"/>
              <w:marBottom w:val="0"/>
              <w:divBdr>
                <w:top w:val="none" w:sz="0" w:space="0" w:color="auto"/>
                <w:left w:val="none" w:sz="0" w:space="0" w:color="auto"/>
                <w:bottom w:val="none" w:sz="0" w:space="0" w:color="auto"/>
                <w:right w:val="none" w:sz="0" w:space="0" w:color="auto"/>
              </w:divBdr>
            </w:div>
            <w:div w:id="1993874138">
              <w:marLeft w:val="0"/>
              <w:marRight w:val="0"/>
              <w:marTop w:val="83"/>
              <w:marBottom w:val="0"/>
              <w:divBdr>
                <w:top w:val="none" w:sz="0" w:space="0" w:color="auto"/>
                <w:left w:val="none" w:sz="0" w:space="0" w:color="auto"/>
                <w:bottom w:val="none" w:sz="0" w:space="0" w:color="auto"/>
                <w:right w:val="none" w:sz="0" w:space="0" w:color="auto"/>
              </w:divBdr>
            </w:div>
            <w:div w:id="1993874140">
              <w:marLeft w:val="0"/>
              <w:marRight w:val="0"/>
              <w:marTop w:val="83"/>
              <w:marBottom w:val="0"/>
              <w:divBdr>
                <w:top w:val="none" w:sz="0" w:space="0" w:color="auto"/>
                <w:left w:val="none" w:sz="0" w:space="0" w:color="auto"/>
                <w:bottom w:val="none" w:sz="0" w:space="0" w:color="auto"/>
                <w:right w:val="none" w:sz="0" w:space="0" w:color="auto"/>
              </w:divBdr>
            </w:div>
          </w:divsChild>
        </w:div>
        <w:div w:id="1993874127">
          <w:marLeft w:val="0"/>
          <w:marRight w:val="0"/>
          <w:marTop w:val="83"/>
          <w:marBottom w:val="0"/>
          <w:divBdr>
            <w:top w:val="none" w:sz="0" w:space="0" w:color="auto"/>
            <w:left w:val="none" w:sz="0" w:space="0" w:color="auto"/>
            <w:bottom w:val="none" w:sz="0" w:space="0" w:color="auto"/>
            <w:right w:val="none" w:sz="0" w:space="0" w:color="auto"/>
          </w:divBdr>
        </w:div>
        <w:div w:id="199387413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DFFC-46A2-4E81-A38E-64766FAA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Peter Sise - Submission to ACL Review Interim Report</vt:lpstr>
    </vt:vector>
  </TitlesOfParts>
  <Company>Australian Government - The Treasury</Company>
  <LinksUpToDate>false</LinksUpToDate>
  <CharactersWithSpaces>37953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Sise - Submission to ACL Review Interim Report</dc:title>
  <dc:creator>Submitted by Peter Sise</dc:creator>
  <cp:lastModifiedBy>Moore, Ben</cp:lastModifiedBy>
  <cp:revision>2</cp:revision>
  <cp:lastPrinted>2017-02-03T02:58:00Z</cp:lastPrinted>
  <dcterms:created xsi:type="dcterms:W3CDTF">2017-02-28T02:16:00Z</dcterms:created>
  <dcterms:modified xsi:type="dcterms:W3CDTF">2017-02-28T02:16:00Z</dcterms:modified>
</cp:coreProperties>
</file>